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F8DF8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firstLine="0"/>
        <w:jc w:val="center"/>
        <w:rPr>
          <w:rFonts w:ascii="Calibri" w:hAnsi="Calibri" w:eastAsia="宋体" w:cs="Calibri"/>
          <w:b w:val="0"/>
          <w:bCs w:val="0"/>
          <w:kern w:val="2"/>
          <w:sz w:val="24"/>
          <w:szCs w:val="24"/>
        </w:rPr>
      </w:pPr>
      <w:r>
        <w:rPr>
          <w:rFonts w:ascii="仿宋_GB2312" w:hAnsi="Calibri" w:eastAsia="仿宋_GB2312" w:cs="仿宋_GB2312"/>
          <w:b/>
          <w:bCs/>
          <w:caps w:val="0"/>
          <w:kern w:val="2"/>
          <w:sz w:val="36"/>
          <w:szCs w:val="36"/>
        </w:rPr>
        <w:t>钢丝绳报废的7类场景解析（依据GB/T 5972-2023规范）</w:t>
      </w:r>
    </w:p>
    <w:p w14:paraId="3682021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在起重吊装、工程作业等领域，钢丝绳的安全性至关重要。若达到报废标准仍继续使用，极易导致设备故障甚至人员伤亡。</w:t>
      </w:r>
    </w:p>
    <w:p w14:paraId="4D5D365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实际操作中，不少人员习惯于凭经验判断钢丝绳状态，容易忽略规范中明确的隐患。本文依据最新国家标准《GB/T 5972-2023》，将钢丝绳报废的典型情形归纳为7类，并提供简明判定方法，便于现场快速核查。</w:t>
      </w:r>
    </w:p>
    <w:p w14:paraId="0CE9E4B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329C542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kern w:val="2"/>
          <w:sz w:val="28"/>
          <w:szCs w:val="28"/>
        </w:rPr>
        <w:t>掌握两个关键概念，判断更准确</w:t>
      </w:r>
    </w:p>
    <w:p w14:paraId="767E332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kern w:val="2"/>
          <w:sz w:val="28"/>
          <w:szCs w:val="28"/>
        </w:rPr>
        <w:t>公称直径（d）：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钢丝绳标称直径，如20mm。文中提到的“6d”“30d”等长度均以此为基础计算（例如6d表示6倍公称直径）。</w:t>
      </w:r>
    </w:p>
    <w:p w14:paraId="65454F3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kern w:val="2"/>
          <w:sz w:val="28"/>
          <w:szCs w:val="28"/>
        </w:rPr>
        <w:t>主管人员：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具备相应专业能力与经验的责任人。钢丝绳是否报废需由其最终确认，不应仅依赖数据直接判定。</w:t>
      </w:r>
    </w:p>
    <w:p w14:paraId="2D7BF95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5700614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场景一：断丝——最常见报废原因，掌握关键数字</w:t>
      </w:r>
    </w:p>
    <w:p w14:paraId="6EDAD2B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断丝是钢丝绳报废的主要依据，需根据断丝位置和数量综合判断：</w:t>
      </w:r>
    </w:p>
    <w:p w14:paraId="7993CE3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主要断丝类型的判定</w:t>
      </w:r>
    </w:p>
    <w:p w14:paraId="45B60AD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股沟断丝（发生在股与股接触处）：在6倍公称直径长度内，出现2根或以上断丝，即应报废。</w:t>
      </w:r>
    </w:p>
    <w:p w14:paraId="58750EA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示例：公称直径20mm的钢丝绳，在120mm范围内发现2根股沟断丝，即达报废条件。</w:t>
      </w:r>
    </w:p>
    <w:p w14:paraId="23047C3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绳端固定处断丝：在绳头固定装置（如卡扣、套筒）附近，出现2根及以上断丝，应立即报废。该部位应力集中，断丝易扩展。</w:t>
      </w:r>
    </w:p>
    <w:p w14:paraId="55FF2E8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随机分布断丝：需根据钢丝绳结构对照规范附录中的表格进行判定。</w:t>
      </w:r>
    </w:p>
    <w:p w14:paraId="358F80E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对于单层股钢丝绳，参考规范表3（工作级别M5至M8时，允许断丝数减半）。</w:t>
      </w:r>
    </w:p>
    <w:p w14:paraId="00DB5E7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对于阻旋转钢丝绳，参考规范表4（不适用减半规则）。</w:t>
      </w:r>
    </w:p>
    <w:p w14:paraId="7D63BBA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若在6d或30d长度内实际断丝数超过表中限值，则应报废。</w:t>
      </w:r>
    </w:p>
    <w:p w14:paraId="2AD0BBA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特别注意</w:t>
      </w:r>
    </w:p>
    <w:p w14:paraId="7B4DD63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如断丝集中出现在相邻的一两个绳股中，形成局部密集，即使总数未超限，也应考虑报废。</w:t>
      </w:r>
    </w:p>
    <w:p w14:paraId="6A68BFD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西鲁式结构且每股钢丝数不大于19的钢丝绳，报废限值更为严格（查表时需“上移两行”取值）。</w:t>
      </w:r>
    </w:p>
    <w:p w14:paraId="0580514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1946074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场景二：直径减小——直径缩减超限必须更换</w:t>
      </w:r>
    </w:p>
    <w:p w14:paraId="753B99B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钢丝绳因磨损、腐蚀等原因导致直径减小，分两种情况判定：</w:t>
      </w:r>
    </w:p>
    <w:p w14:paraId="221B545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判定标准</w:t>
      </w:r>
    </w:p>
    <w:p w14:paraId="17F5188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整体直径减小：交互捻钢丝绳不得超过公称直径的90%，同向捻不得超过85%，阻旋转钢丝绳不得超过80%。          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示例：公称直径20mm的交互捻钢丝绳，若实测平均直径≤18mm，即应报废。</w:t>
      </w:r>
    </w:p>
    <w:p w14:paraId="2044454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局部直径减小：在钢丝绳任何部位测量，若直径小于公称直径的10%，则直接报废。          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示例：20mm钢丝绳局部最小直径≤18mm，即达报废标准。</w:t>
      </w:r>
    </w:p>
    <w:p w14:paraId="076783F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测量建议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使用卡尺在无严重变形或磨损的部位测量三个不同位置，取平均值作为整体直径。</w:t>
      </w:r>
    </w:p>
    <w:p w14:paraId="677EE7C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14EA6D3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场景三：腐蚀——按程度区分，重度腐蚀立即停用</w:t>
      </w:r>
    </w:p>
    <w:p w14:paraId="1C742D7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腐蚀包括表面锈蚀和内部锈蚀，需根据程度和发生位置综合判断：</w:t>
      </w:r>
    </w:p>
    <w:p w14:paraId="4623FFE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腐蚀程度判定参考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0"/>
        <w:gridCol w:w="2777"/>
        <w:gridCol w:w="2357"/>
        <w:gridCol w:w="2132"/>
      </w:tblGrid>
      <w:tr w14:paraId="4096B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C66ED95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腐蚀等级</w:t>
            </w:r>
          </w:p>
        </w:tc>
        <w:tc>
          <w:tcPr>
            <w:tcW w:w="2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4C4211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表面腐蚀处理</w:t>
            </w:r>
          </w:p>
        </w:tc>
        <w:tc>
          <w:tcPr>
            <w:tcW w:w="2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5831D6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内部腐蚀处理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C47102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关键受力区（如滑轮、卷筒接触段）</w:t>
            </w:r>
          </w:p>
        </w:tc>
      </w:tr>
      <w:tr w14:paraId="6461D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2529B26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轻度</w:t>
            </w:r>
          </w:p>
        </w:tc>
        <w:tc>
          <w:tcPr>
            <w:tcW w:w="2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5ABBAE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加强检查，可继续使用</w:t>
            </w:r>
          </w:p>
        </w:tc>
        <w:tc>
          <w:tcPr>
            <w:tcW w:w="2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1DACBA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加强检查，可继续使用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76353F6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缩短检查周期</w:t>
            </w:r>
          </w:p>
        </w:tc>
      </w:tr>
      <w:tr w14:paraId="4A25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189D275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中度</w:t>
            </w:r>
          </w:p>
        </w:tc>
        <w:tc>
          <w:tcPr>
            <w:tcW w:w="2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02A2F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评估后决定是否使用</w:t>
            </w:r>
          </w:p>
        </w:tc>
        <w:tc>
          <w:tcPr>
            <w:tcW w:w="2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A8473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建议报废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D3EEDC7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立即报废</w:t>
            </w:r>
          </w:p>
        </w:tc>
      </w:tr>
      <w:tr w14:paraId="5DBA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09ABAD3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/>
                <w:bCs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重度</w:t>
            </w:r>
          </w:p>
        </w:tc>
        <w:tc>
          <w:tcPr>
            <w:tcW w:w="2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77CD47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立即报废</w:t>
            </w:r>
          </w:p>
        </w:tc>
        <w:tc>
          <w:tcPr>
            <w:tcW w:w="2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1D70AB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立即报废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8E78522">
            <w:pPr>
              <w:pStyle w:val="2"/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firstLine="0"/>
              <w:jc w:val="center"/>
              <w:rPr>
                <w:rFonts w:hint="default" w:ascii="Calibri" w:hAnsi="Calibri" w:eastAsia="宋体" w:cs="Calibri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Calibri" w:hAnsi="宋体" w:eastAsia="宋体" w:cs="宋体"/>
                <w:b w:val="0"/>
                <w:bCs w:val="0"/>
                <w:caps w:val="0"/>
                <w:kern w:val="2"/>
                <w:sz w:val="28"/>
                <w:szCs w:val="28"/>
                <w:bdr w:val="none" w:color="auto" w:sz="0" w:space="0"/>
                <w:lang w:val="en-US" w:eastAsia="zh-CN"/>
              </w:rPr>
              <w:t>立即报废</w:t>
            </w:r>
          </w:p>
        </w:tc>
      </w:tr>
    </w:tbl>
    <w:p w14:paraId="23B440C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检查提示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内部腐蚀不易察觉，可拆开绳股观察。如发现锈泥或钢丝明显变细，应按重度腐蚀处理。</w:t>
      </w:r>
    </w:p>
    <w:p w14:paraId="2F55EB3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1407839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场景四：变形——一旦出现，通常不可修复</w:t>
      </w:r>
    </w:p>
    <w:p w14:paraId="4E0E6E4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钢丝绳发生以下永久性变形时，因其受力状态已遭破坏，均应予以报废：</w:t>
      </w:r>
    </w:p>
    <w:p w14:paraId="119F885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常见变形类型</w:t>
      </w:r>
    </w:p>
    <w:p w14:paraId="776E788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笼状畸变（绳股弹出呈“鸟笼”状）；</w:t>
      </w:r>
    </w:p>
    <w:p w14:paraId="0373ADC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扭结或硬弯（形成永久性折痕）；</w:t>
      </w:r>
    </w:p>
    <w:p w14:paraId="40B4301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绳芯脱出或挤出；</w:t>
      </w:r>
    </w:p>
    <w:p w14:paraId="4A3E382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局部直径增大超过10%；</w:t>
      </w:r>
    </w:p>
    <w:p w14:paraId="23E13DF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断股或钢丝凸起。</w:t>
      </w:r>
    </w:p>
    <w:p w14:paraId="267412F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检查重点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通过目视检查，重点关注滑轮、卷筒附近区域。</w:t>
      </w:r>
    </w:p>
    <w:p w14:paraId="15D2087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7C905B0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场景五：绳芯损坏——支撑结构受损影响整体安全</w:t>
      </w:r>
    </w:p>
    <w:p w14:paraId="7CAACB1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绳芯（纤维芯或钢芯）是维持钢丝绳结构的关键，损坏程度决定是否报废：</w:t>
      </w:r>
    </w:p>
    <w:p w14:paraId="289D22E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判定原则</w:t>
      </w:r>
    </w:p>
    <w:p w14:paraId="1AF768F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4C96327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轻度损坏（局部轻微破损）：加强检查，可继续使用；</w:t>
      </w:r>
    </w:p>
    <w:p w14:paraId="135C7F2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中度损坏（局部损坏较重，已影响受力）：需评估后决定；</w:t>
      </w:r>
    </w:p>
    <w:p w14:paraId="6368987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重度损坏（整体或关键区域严重破损）：立即报废。</w:t>
      </w:r>
    </w:p>
    <w:p w14:paraId="0000BD5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检查要点</w:t>
      </w:r>
    </w:p>
    <w:p w14:paraId="54C0C0A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纤维芯：检查是否干枯、粉化、受潮或霉变。</w:t>
      </w:r>
    </w:p>
    <w:p w14:paraId="79F99DD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钢芯：检查有无断裂、腐蚀或锈迹。</w:t>
      </w:r>
    </w:p>
    <w:p w14:paraId="6991430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20B4675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场景六：磨损与疲劳——长期损耗的最终表现</w:t>
      </w:r>
    </w:p>
    <w:p w14:paraId="6932DEE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长期使用导致钢丝磨损或疲劳裂纹，出现以下情况时应报废：</w:t>
      </w:r>
    </w:p>
    <w:p w14:paraId="0E0971A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报废情形</w:t>
      </w:r>
    </w:p>
    <w:p w14:paraId="3C54B29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磨损导致外层钢丝截面积损失超过10%，或钢丝棱角磨平；</w:t>
      </w:r>
    </w:p>
    <w:p w14:paraId="5A660C1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在多个区段检测到疲劳裂纹；</w:t>
      </w:r>
    </w:p>
    <w:p w14:paraId="2FAFC6D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出现脆性断裂（断口无塑性变形痕迹）。</w:t>
      </w:r>
    </w:p>
    <w:p w14:paraId="6AF0957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操作建议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可使用探伤仪检测裂纹。对于磨损部位，可与新钢丝对比，判断截面积损失是否超标。</w:t>
      </w:r>
    </w:p>
    <w:p w14:paraId="46960EB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1FE77CE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场景七：高温影响——受热后性能下降</w:t>
      </w:r>
    </w:p>
    <w:p w14:paraId="16967D1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钢丝绳暴露于高温环境会导致力学性能劣化：</w:t>
      </w:r>
    </w:p>
    <w:p w14:paraId="172051D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判定依据</w:t>
      </w:r>
    </w:p>
    <w:p w14:paraId="44E21FC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接触温度超过300℃（不论时间长短）：立即报废；</w:t>
      </w:r>
    </w:p>
    <w:p w14:paraId="4503490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接触温度在200℃至300℃之间，累计超过10小时：立即报废；</w:t>
      </w:r>
    </w:p>
    <w:p w14:paraId="1DC9989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出现退火迹象（钢丝颜色变蓝、质地变软）：立即报废，不考虑受热时间和温度。</w:t>
      </w:r>
    </w:p>
    <w:p w14:paraId="2C5BCD9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特别提醒</w:t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br w:type="page"/>
      </w: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经历火灾的钢丝绳，即使外观无显著变化，因可能存在隐性损伤，也建议直接更换。</w:t>
      </w:r>
    </w:p>
    <w:p w14:paraId="6668F42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最后注意事项</w:t>
      </w:r>
    </w:p>
    <w:p w14:paraId="7D1799F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若钢丝绳同时存在多种缺陷（如既有断丝又有腐蚀），应从严评估，通常直接考虑报废。</w:t>
      </w:r>
    </w:p>
    <w:p w14:paraId="12DCC6BD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用于关键设备（如起重机主起升机构）的钢丝绳，报废标准可酌情提高。</w:t>
      </w:r>
    </w:p>
    <w:p w14:paraId="44E6482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所有检查与判定结果应记录在案，并由主管人员签字确认，明确责任。</w:t>
      </w:r>
    </w:p>
    <w:p w14:paraId="0FB8E7C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2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/>
          <w:bCs/>
          <w:caps w:val="0"/>
          <w:color w:val="0000FF"/>
          <w:kern w:val="2"/>
          <w:sz w:val="28"/>
          <w:szCs w:val="28"/>
        </w:rPr>
        <w:t>安全无小事，规范检查与判定是预防事故的第一道关口。建议保存本文，便于现场快速对照查阅。</w:t>
      </w:r>
    </w:p>
    <w:p w14:paraId="72CA2DD3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7325" cy="7835900"/>
            <wp:effectExtent l="0" t="0" r="9525" b="1270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83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C0B53B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7325" cy="7340600"/>
            <wp:effectExtent l="0" t="0" r="9525" b="12700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4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4EF75D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9230" cy="7312025"/>
            <wp:effectExtent l="0" t="0" r="7620" b="3175"/>
            <wp:docPr id="7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12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A17B94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71770" cy="7914005"/>
            <wp:effectExtent l="0" t="0" r="5080" b="10795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914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14B143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7960" cy="6701155"/>
            <wp:effectExtent l="0" t="0" r="8890" b="4445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701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10C00E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6690" cy="6921500"/>
            <wp:effectExtent l="0" t="0" r="10160" b="12700"/>
            <wp:docPr id="3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921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A7185A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9865" cy="6752590"/>
            <wp:effectExtent l="0" t="0" r="6985" b="10160"/>
            <wp:docPr id="2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752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C12A28">
      <w:pPr>
        <w:pStyle w:val="2"/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firstLine="0"/>
        <w:jc w:val="center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Calibri" w:hAnsi="Calibri" w:eastAsia="宋体" w:cs="Calibri"/>
          <w:b w:val="0"/>
          <w:bCs w:val="0"/>
          <w:caps w:val="0"/>
          <w:kern w:val="2"/>
          <w:sz w:val="28"/>
          <w:szCs w:val="28"/>
        </w:rPr>
        <w:drawing>
          <wp:inline distT="0" distB="0" distL="114300" distR="114300">
            <wp:extent cx="5269230" cy="6961505"/>
            <wp:effectExtent l="0" t="0" r="7620" b="10795"/>
            <wp:docPr id="1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6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8E060A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360" w:lineRule="auto"/>
        <w:ind w:left="0" w:firstLine="560" w:firstLineChars="200"/>
        <w:jc w:val="both"/>
        <w:rPr>
          <w:rFonts w:hint="default" w:ascii="Calibri" w:hAnsi="Calibri" w:eastAsia="宋体" w:cs="Calibri"/>
          <w:b w:val="0"/>
          <w:bCs w:val="0"/>
          <w:kern w:val="2"/>
          <w:sz w:val="28"/>
          <w:szCs w:val="28"/>
        </w:rPr>
      </w:pPr>
      <w:r>
        <w:rPr>
          <w:rFonts w:hint="default" w:ascii="仿宋_GB2312" w:hAnsi="Calibri" w:eastAsia="仿宋_GB2312" w:cs="仿宋_GB2312"/>
          <w:b w:val="0"/>
          <w:bCs w:val="0"/>
          <w:caps w:val="0"/>
          <w:kern w:val="2"/>
          <w:sz w:val="28"/>
          <w:szCs w:val="28"/>
        </w:rPr>
        <w:t> </w:t>
      </w:r>
    </w:p>
    <w:p w14:paraId="55D4BD26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842518"/>
    <w:rsid w:val="597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2026-01-06T03:07:50Z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