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46970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1"/>
          <w:szCs w:val="21"/>
        </w:rPr>
      </w:pPr>
      <w:bookmarkStart w:id="35" w:name="_GoBack"/>
      <w:r>
        <w:rPr>
          <w:rFonts w:hint="eastAsia" w:ascii="宋体" w:hAnsi="宋体" w:eastAsia="宋体" w:cs="宋体"/>
          <w:b/>
          <w:sz w:val="21"/>
          <w:szCs w:val="21"/>
        </w:rPr>
        <w:t>DL/T 3006-2025标准实施下燃煤电厂安全生产标准化建设与重大隐患治理研究</w:t>
      </w:r>
    </w:p>
    <w:bookmarkEnd w:id="35"/>
    <w:p w14:paraId="1FD8AA0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为破解燃煤发电行业安全生产标准化长期存在的“通用标准宽泛、专业细则缺失、对标尺度不一、隐患判定模糊”等行业治理难题，由中国电力企业联合会组织编制、国家能源局作为行业监管主管部门推动落地的行业首部火电专属规范 DL/T 3006-2025《燃煤发电企业安全生产标准化实施规范》正式发布实施。该标准于2025年12月发布、2026年6月正式实施，结合国家能源局最新安全生产标准化管控要求，构建了以企业主要负责人七项法定职责为核心、八大管理要素为支撑、量化评审体系为标尺的火电安全标准化全新体系。</w:t>
      </w:r>
    </w:p>
    <w:p w14:paraId="6A62554E">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2025年10月，国家能源局综合司印发</w:t>
      </w:r>
      <w:r>
        <w:rPr>
          <w:rFonts w:hint="eastAsia" w:ascii="宋体" w:hAnsi="宋体" w:eastAsia="宋体" w:cs="宋体"/>
          <w:b/>
          <w:sz w:val="21"/>
          <w:szCs w:val="21"/>
        </w:rPr>
        <w:t>《关于加强组织管理 进一步推进电力安全生产标准化建设工作的通知》（国能综通安全〔2025〕151号）</w:t>
      </w:r>
      <w:r>
        <w:rPr>
          <w:rFonts w:hint="eastAsia" w:ascii="宋体" w:hAnsi="宋体" w:eastAsia="宋体" w:cs="宋体"/>
          <w:sz w:val="21"/>
          <w:szCs w:val="21"/>
        </w:rPr>
        <w:t>，明确电力企业标准化建设统筹规划、主体责任、自主评审、监督管控的硬性要求，进一步压实火电企业标准化常态化建设、动态自评、闭环改进的法定履职责任，为DL/T 3006-2025专属标准落地实施提供了顶层监管政策支撑。</w:t>
      </w:r>
    </w:p>
    <w:p w14:paraId="4363720D">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本人结合自身从事电力安全生产标准化评审14年的工作经历，</w:t>
      </w:r>
      <w:r>
        <w:rPr>
          <w:rFonts w:hint="eastAsia" w:ascii="宋体" w:hAnsi="宋体" w:eastAsia="宋体" w:cs="宋体"/>
          <w:sz w:val="21"/>
          <w:szCs w:val="21"/>
        </w:rPr>
        <w:t>系统阐述新标准出台背景、国家能源局最新标准化管控政策、核心架构与评审机制，结合燃煤电厂实际，梳理企业必备安全管理制度、应急预案体系，分类界定消防、特种设备、防雷防静电、厂区交通、主机辅机、重大危险源、外包作业等全维度重大隐患判定清单，明确未落实标准化建设与隐患治理对应的能源监管处罚依据与追责边界，形成“标准对标—体系完善—隐患排查—闭环治理—尽职免责”的火电企业安全治理实施路径。研究可为燃煤电厂落实能源监管要求、推进本质安全建设、规避行政追责提供理论依据与实操参考。</w:t>
      </w:r>
    </w:p>
    <w:p w14:paraId="18B7A5A7">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燃煤发电作为我国电力保供的兜底支撑电源，机组设备结构复杂、高风险作业密集、危险源种类繁多，安全生产管控链条长、风险点多、治理难度大。长期以来，国内燃煤电厂安全生产标准化建设主要依托GB/T 33000-2025《大中型企业安全生产标准化管理体系要求》通用安全体系及DL/T 2655-2023</w:t>
      </w:r>
      <w:r>
        <w:rPr>
          <w:rFonts w:hint="eastAsia" w:ascii="宋体" w:hAnsi="宋体" w:eastAsia="宋体" w:cs="宋体"/>
          <w:sz w:val="21"/>
          <w:szCs w:val="21"/>
          <w:lang w:eastAsia="zh-CN"/>
        </w:rPr>
        <w:t>《发电企业安全生产标准化实施指南》，</w:t>
      </w:r>
      <w:r>
        <w:rPr>
          <w:rFonts w:hint="eastAsia" w:ascii="宋体" w:hAnsi="宋体" w:eastAsia="宋体" w:cs="宋体"/>
          <w:sz w:val="21"/>
          <w:szCs w:val="21"/>
        </w:rPr>
        <w:t>通用发电企业指南开展建设，存在通用性强、专业性弱、场景适配度低的结构性短板，无法精准覆盖锅炉、汽机、电气、热控、输煤制粉、尿素脱硝、消防防火、特种设备、防雷防静电、厂区交通等火电特有作业场景。</w:t>
      </w:r>
    </w:p>
    <w:p w14:paraId="58253144">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电力</w:t>
      </w:r>
      <w:r>
        <w:rPr>
          <w:rFonts w:hint="eastAsia" w:ascii="宋体" w:hAnsi="宋体" w:eastAsia="宋体" w:cs="宋体"/>
          <w:sz w:val="21"/>
          <w:szCs w:val="21"/>
        </w:rPr>
        <w:t>行业普遍存在制度建设与现场管控脱节、隐患判定尺度不统一、重大隐患漏判、整改闭环不规范等问题，导致安全标准化建设流于形式，监管督查差异化、整改结果同质化，难以形成标准化、体系化、长效化的安全治理格局。结合国家能源局151号文监管导向，传统通用标准化体系已无法适配当前电力安全精细化、常态化、可溯源的监管要求，行业亟需专属实操标准补齐治理短板。</w:t>
      </w:r>
    </w:p>
    <w:p w14:paraId="022728AD">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为补齐火电行业安全标准化专业短板，统一行业建设、自评、整改、评审、监管标尺，国家能源局推动DL/T 3006-202</w:t>
      </w:r>
      <w:r>
        <w:rPr>
          <w:rFonts w:hint="eastAsia" w:ascii="宋体" w:hAnsi="宋体" w:eastAsia="宋体" w:cs="宋体"/>
          <w:sz w:val="21"/>
          <w:szCs w:val="21"/>
          <w:lang w:val="en-US" w:eastAsia="zh-CN"/>
        </w:rPr>
        <w:t>5</w:t>
      </w:r>
      <w:r>
        <w:rPr>
          <w:rFonts w:hint="eastAsia" w:ascii="宋体" w:hAnsi="宋体" w:eastAsia="宋体" w:cs="宋体"/>
          <w:sz w:val="21"/>
          <w:szCs w:val="21"/>
        </w:rPr>
        <w:t>专属行业规范落地实施，标志着火电安全管理从经验型管控、粗放式对标正式迈入条目化、场景化、可量化、可评审、可追责的标准化治理新阶段，精准对接国家能源局电力安全生产标准化提质增效的总体工作部署。</w:t>
      </w:r>
    </w:p>
    <w:p w14:paraId="360FA669">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0"/>
        <w:rPr>
          <w:rFonts w:hint="eastAsia" w:ascii="宋体" w:hAnsi="宋体" w:eastAsia="宋体" w:cs="宋体"/>
          <w:sz w:val="21"/>
          <w:szCs w:val="21"/>
        </w:rPr>
      </w:pPr>
      <w:bookmarkStart w:id="0" w:name="heading_0"/>
      <w:r>
        <w:rPr>
          <w:rFonts w:hint="eastAsia" w:ascii="宋体" w:hAnsi="宋体" w:eastAsia="宋体" w:cs="宋体"/>
          <w:b/>
          <w:sz w:val="21"/>
          <w:szCs w:val="21"/>
        </w:rPr>
        <w:t>1 DL/T 3006-2025标准实施背景与行业价值</w:t>
      </w:r>
      <w:bookmarkEnd w:id="0"/>
    </w:p>
    <w:p w14:paraId="267EBF5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1" w:name="heading_1"/>
      <w:r>
        <w:rPr>
          <w:rFonts w:hint="eastAsia" w:ascii="宋体" w:hAnsi="宋体" w:eastAsia="宋体" w:cs="宋体"/>
          <w:b/>
          <w:sz w:val="21"/>
          <w:szCs w:val="21"/>
        </w:rPr>
        <w:t>1.1 实施背景</w:t>
      </w:r>
      <w:bookmarkEnd w:id="1"/>
    </w:p>
    <w:p w14:paraId="44DEA623">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传统通用安全标准框架宏观宽泛，未针对燃煤发电生产工艺流程、设备特性、高危场景制定专项管控细则，各发电集团、基层电厂对标口径不统一、整改尺度不一致、评审判定不规范。尤其在尿素脱硝替代液氨脱硝后，部分电厂存在风险辨识更新不及时、制度预案体系滞后、新型隐患管控缺失等问题，无法适配新时代火电安全生产监管要求。</w:t>
      </w:r>
    </w:p>
    <w:p w14:paraId="3992026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同时，随着国家能源局电力安全监管力度持续升级、《电力生产重大事故隐患判定标准》（国家发展改革委令第41号）</w:t>
      </w:r>
      <w:r>
        <w:rPr>
          <w:rFonts w:hint="eastAsia" w:ascii="宋体" w:hAnsi="宋体" w:eastAsia="宋体" w:cs="宋体"/>
          <w:sz w:val="21"/>
          <w:szCs w:val="21"/>
          <w:lang w:val="en-US" w:eastAsia="zh-CN"/>
        </w:rPr>
        <w:t>文的</w:t>
      </w:r>
      <w:r>
        <w:rPr>
          <w:rFonts w:hint="eastAsia" w:ascii="宋体" w:hAnsi="宋体" w:eastAsia="宋体" w:cs="宋体"/>
          <w:sz w:val="21"/>
          <w:szCs w:val="21"/>
        </w:rPr>
        <w:t>落地实施，叠加</w:t>
      </w:r>
      <w:r>
        <w:rPr>
          <w:rFonts w:hint="eastAsia" w:ascii="宋体" w:hAnsi="宋体" w:eastAsia="宋体" w:cs="宋体"/>
          <w:b/>
          <w:sz w:val="21"/>
          <w:szCs w:val="21"/>
        </w:rPr>
        <w:t>国能综通安全〔2025〕151号</w:t>
      </w:r>
      <w:r>
        <w:rPr>
          <w:rFonts w:hint="eastAsia" w:ascii="宋体" w:hAnsi="宋体" w:eastAsia="宋体" w:cs="宋体"/>
          <w:sz w:val="21"/>
          <w:szCs w:val="21"/>
        </w:rPr>
        <w:t>通知对电力标准化常态化建设、自主评审、闭环改进的硬性规定，重大隐患排查治理属于法定强制性履职义务；安全生产标准化作为落实安全主体责任的重要载体，正式纳入电力安全常态化监管核查与年度考核范畴，行业亟需专属标准实现合规对标、隐患精准治理与风险闭环管控。</w:t>
      </w:r>
    </w:p>
    <w:p w14:paraId="43BECF85">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2" w:name="heading_2"/>
      <w:r>
        <w:rPr>
          <w:rFonts w:hint="eastAsia" w:ascii="宋体" w:hAnsi="宋体" w:eastAsia="宋体" w:cs="宋体"/>
          <w:b/>
          <w:sz w:val="21"/>
          <w:szCs w:val="21"/>
        </w:rPr>
        <w:t>1.2 行业应用价值</w:t>
      </w:r>
      <w:bookmarkEnd w:id="2"/>
    </w:p>
    <w:p w14:paraId="46BB546D">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DL/T 3006-2025是国内首部专门针对燃煤发电企业的安全生产标准化实操规范，深度衔接国家能源局151号文标准化建设要求，实现火电全专业、全流程、全场景的标准化覆盖，解决了长期以来火电安全“有总则、无细则、有要求、无抓手”的行业痛点。</w:t>
      </w:r>
    </w:p>
    <w:p w14:paraId="717CDCAA">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标准以企业主要负责人法定七项安全职责为顶层逻辑，将责任压实、体系建设、风险管控、隐患治理、教育培训、应急处置、事故追责、持续改进全部量化落地，完全适配国家能源局“统筹规划、常态自评、闭环改进、奖惩挂钩”的标准化监管体系。既满足企业本质安全提升、体系合规完善的内部管理需求，也满足监管督查、外部评审、履职留痕、尽职免责的外部合规需求，是火电企业落实国家能源局最新安全生产标准化管控政策的唯一专属实操依据。</w:t>
      </w:r>
    </w:p>
    <w:p w14:paraId="55CAC3D4">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0"/>
        <w:rPr>
          <w:rFonts w:hint="eastAsia" w:ascii="宋体" w:hAnsi="宋体" w:eastAsia="宋体" w:cs="宋体"/>
          <w:sz w:val="21"/>
          <w:szCs w:val="21"/>
        </w:rPr>
      </w:pPr>
      <w:bookmarkStart w:id="3" w:name="heading_3"/>
      <w:r>
        <w:rPr>
          <w:rFonts w:hint="eastAsia" w:ascii="宋体" w:hAnsi="宋体" w:eastAsia="宋体" w:cs="宋体"/>
          <w:b/>
          <w:sz w:val="21"/>
          <w:szCs w:val="21"/>
        </w:rPr>
        <w:t>2 新标准核心架构：七项法定职责与八大管理要素</w:t>
      </w:r>
      <w:bookmarkEnd w:id="3"/>
    </w:p>
    <w:p w14:paraId="4E7712CD">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DL/T 3006-2025全部条款围绕燃煤电厂主要负责人七项法定安全职责编制，细化拆解为八大核心管理要素，完全契合国家能源局151号文提出的“制度化、规范化、系统化、科学化”标准化建设目标，构建权责清晰、流程闭环、可查可溯的标准化管理体系。</w:t>
      </w:r>
    </w:p>
    <w:p w14:paraId="78D2A39F">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4" w:name="heading_4"/>
      <w:r>
        <w:rPr>
          <w:rFonts w:hint="eastAsia" w:ascii="宋体" w:hAnsi="宋体" w:eastAsia="宋体" w:cs="宋体"/>
          <w:b/>
          <w:sz w:val="21"/>
          <w:szCs w:val="21"/>
        </w:rPr>
        <w:t>2.1 职责目标及保障体系</w:t>
      </w:r>
      <w:bookmarkEnd w:id="4"/>
    </w:p>
    <w:p w14:paraId="721E3809">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严格落实国家能源局标准化主体责任要求，建立层级化全员安全生产责任体系，逐级分解安全绩效目标，实现岗位责任全覆盖。规范安全生产费用计提与专项使用管理，优先保障消防改造、特种设备定检、防雷防静电检测、厂区交通整治、尿素脱硝系统治理、重大隐患整改等关键投入。规范安全管理机构设置与人员配置，从组织、经费、制度、人员层面夯实安全管理基础，满足标准化建设资源配置保障要求。</w:t>
      </w:r>
    </w:p>
    <w:p w14:paraId="184B8DD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5" w:name="heading_5"/>
      <w:r>
        <w:rPr>
          <w:rFonts w:hint="eastAsia" w:ascii="宋体" w:hAnsi="宋体" w:eastAsia="宋体" w:cs="宋体"/>
          <w:b/>
          <w:sz w:val="21"/>
          <w:szCs w:val="21"/>
        </w:rPr>
        <w:t>2.2 标准化制度合规管理</w:t>
      </w:r>
      <w:bookmarkEnd w:id="5"/>
    </w:p>
    <w:p w14:paraId="2218106D">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依据国家能源局151号文“企业制定标准化实施细则、完善制度体系”的要求，构建适配火电全专业的制度体系，覆盖运行管控、设备检修、两票管理、外包管控、消防管理、特种设备、防雷防静电、厂区交通、尿素脱硝系统等业务模块。建立制度动态评审、修订、作废机制，确保管理制度时效性、适配性、合规性，实现标准化体系动态迭代升级。</w:t>
      </w:r>
    </w:p>
    <w:p w14:paraId="1E2C76D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针对燃煤电厂，梳理形成必备合规制度清单，共计17项：</w:t>
      </w:r>
    </w:p>
    <w:p w14:paraId="72AAB51A">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1. 安全生产责任制、安全目标管理制度</w:t>
      </w:r>
      <w:r>
        <w:rPr>
          <w:rFonts w:hint="eastAsia" w:ascii="宋体" w:hAnsi="宋体" w:eastAsia="宋体" w:cs="宋体"/>
          <w:sz w:val="21"/>
          <w:szCs w:val="21"/>
        </w:rPr>
        <w:br w:type="textWrapping"/>
      </w:r>
      <w:r>
        <w:rPr>
          <w:rFonts w:hint="eastAsia" w:ascii="宋体" w:hAnsi="宋体" w:eastAsia="宋体" w:cs="宋体"/>
          <w:sz w:val="21"/>
          <w:szCs w:val="21"/>
        </w:rPr>
        <w:t>2. 安全投入、安全设施管理制度</w:t>
      </w:r>
      <w:r>
        <w:rPr>
          <w:rFonts w:hint="eastAsia" w:ascii="宋体" w:hAnsi="宋体" w:eastAsia="宋体" w:cs="宋体"/>
          <w:sz w:val="21"/>
          <w:szCs w:val="21"/>
        </w:rPr>
        <w:br w:type="textWrapping"/>
      </w:r>
      <w:r>
        <w:rPr>
          <w:rFonts w:hint="eastAsia" w:ascii="宋体" w:hAnsi="宋体" w:eastAsia="宋体" w:cs="宋体"/>
          <w:sz w:val="21"/>
          <w:szCs w:val="21"/>
        </w:rPr>
        <w:t>3. 安全教育培训、特种作业人员管理制度</w:t>
      </w:r>
      <w:r>
        <w:rPr>
          <w:rFonts w:hint="eastAsia" w:ascii="宋体" w:hAnsi="宋体" w:eastAsia="宋体" w:cs="宋体"/>
          <w:sz w:val="21"/>
          <w:szCs w:val="21"/>
        </w:rPr>
        <w:br w:type="textWrapping"/>
      </w:r>
      <w:r>
        <w:rPr>
          <w:rFonts w:hint="eastAsia" w:ascii="宋体" w:hAnsi="宋体" w:eastAsia="宋体" w:cs="宋体"/>
          <w:sz w:val="21"/>
          <w:szCs w:val="21"/>
        </w:rPr>
        <w:t>4. 两票三制、工作票操作票、作业许可管理制度</w:t>
      </w:r>
      <w:r>
        <w:rPr>
          <w:rFonts w:hint="eastAsia" w:ascii="宋体" w:hAnsi="宋体" w:eastAsia="宋体" w:cs="宋体"/>
          <w:sz w:val="21"/>
          <w:szCs w:val="21"/>
        </w:rPr>
        <w:br w:type="textWrapping"/>
      </w:r>
      <w:r>
        <w:rPr>
          <w:rFonts w:hint="eastAsia" w:ascii="宋体" w:hAnsi="宋体" w:eastAsia="宋体" w:cs="宋体"/>
          <w:sz w:val="21"/>
          <w:szCs w:val="21"/>
        </w:rPr>
        <w:t>5. 外包工程安全管理制度</w:t>
      </w:r>
      <w:r>
        <w:rPr>
          <w:rFonts w:hint="eastAsia" w:ascii="宋体" w:hAnsi="宋体" w:eastAsia="宋体" w:cs="宋体"/>
          <w:sz w:val="21"/>
          <w:szCs w:val="21"/>
        </w:rPr>
        <w:br w:type="textWrapping"/>
      </w:r>
      <w:r>
        <w:rPr>
          <w:rFonts w:hint="eastAsia" w:ascii="宋体" w:hAnsi="宋体" w:eastAsia="宋体" w:cs="宋体"/>
          <w:sz w:val="21"/>
          <w:szCs w:val="21"/>
        </w:rPr>
        <w:t>6. 双重预防机制管理制度</w:t>
      </w:r>
      <w:r>
        <w:rPr>
          <w:rFonts w:hint="eastAsia" w:ascii="宋体" w:hAnsi="宋体" w:eastAsia="宋体" w:cs="宋体"/>
          <w:sz w:val="21"/>
          <w:szCs w:val="21"/>
        </w:rPr>
        <w:br w:type="textWrapping"/>
      </w:r>
      <w:r>
        <w:rPr>
          <w:rFonts w:hint="eastAsia" w:ascii="宋体" w:hAnsi="宋体" w:eastAsia="宋体" w:cs="宋体"/>
          <w:sz w:val="21"/>
          <w:szCs w:val="21"/>
        </w:rPr>
        <w:t>7. 消防、防火防爆安全管理制度</w:t>
      </w:r>
      <w:r>
        <w:rPr>
          <w:rFonts w:hint="eastAsia" w:ascii="宋体" w:hAnsi="宋体" w:eastAsia="宋体" w:cs="宋体"/>
          <w:sz w:val="21"/>
          <w:szCs w:val="21"/>
        </w:rPr>
        <w:br w:type="textWrapping"/>
      </w:r>
      <w:r>
        <w:rPr>
          <w:rFonts w:hint="eastAsia" w:ascii="宋体" w:hAnsi="宋体" w:eastAsia="宋体" w:cs="宋体"/>
          <w:sz w:val="21"/>
          <w:szCs w:val="21"/>
        </w:rPr>
        <w:t>8. 特种设备安全管理、定期检验维护管理制度</w:t>
      </w:r>
      <w:r>
        <w:rPr>
          <w:rFonts w:hint="eastAsia" w:ascii="宋体" w:hAnsi="宋体" w:eastAsia="宋体" w:cs="宋体"/>
          <w:sz w:val="21"/>
          <w:szCs w:val="21"/>
        </w:rPr>
        <w:br w:type="textWrapping"/>
      </w:r>
      <w:r>
        <w:rPr>
          <w:rFonts w:hint="eastAsia" w:ascii="宋体" w:hAnsi="宋体" w:eastAsia="宋体" w:cs="宋体"/>
          <w:sz w:val="21"/>
          <w:szCs w:val="21"/>
        </w:rPr>
        <w:t>9. 防雷与防静电安全管理制度</w:t>
      </w:r>
      <w:r>
        <w:rPr>
          <w:rFonts w:hint="eastAsia" w:ascii="宋体" w:hAnsi="宋体" w:eastAsia="宋体" w:cs="宋体"/>
          <w:sz w:val="21"/>
          <w:szCs w:val="21"/>
        </w:rPr>
        <w:br w:type="textWrapping"/>
      </w:r>
      <w:r>
        <w:rPr>
          <w:rFonts w:hint="eastAsia" w:ascii="宋体" w:hAnsi="宋体" w:eastAsia="宋体" w:cs="宋体"/>
          <w:sz w:val="21"/>
          <w:szCs w:val="21"/>
        </w:rPr>
        <w:t>10. 厂区道路交通安全管理制度</w:t>
      </w:r>
      <w:r>
        <w:rPr>
          <w:rFonts w:hint="eastAsia" w:ascii="宋体" w:hAnsi="宋体" w:eastAsia="宋体" w:cs="宋体"/>
          <w:sz w:val="21"/>
          <w:szCs w:val="21"/>
        </w:rPr>
        <w:br w:type="textWrapping"/>
      </w:r>
      <w:r>
        <w:rPr>
          <w:rFonts w:hint="eastAsia" w:ascii="宋体" w:hAnsi="宋体" w:eastAsia="宋体" w:cs="宋体"/>
          <w:sz w:val="21"/>
          <w:szCs w:val="21"/>
        </w:rPr>
        <w:t>11. 危险化学品安全管理制度（尿素、酸碱、润滑油、氢气等）</w:t>
      </w:r>
      <w:r>
        <w:rPr>
          <w:rFonts w:hint="eastAsia" w:ascii="宋体" w:hAnsi="宋体" w:eastAsia="宋体" w:cs="宋体"/>
          <w:sz w:val="21"/>
          <w:szCs w:val="21"/>
        </w:rPr>
        <w:br w:type="textWrapping"/>
      </w:r>
      <w:r>
        <w:rPr>
          <w:rFonts w:hint="eastAsia" w:ascii="宋体" w:hAnsi="宋体" w:eastAsia="宋体" w:cs="宋体"/>
          <w:sz w:val="21"/>
          <w:szCs w:val="21"/>
        </w:rPr>
        <w:t>12. 尿素水解/热解制氨脱硝系统专项安全管理规定</w:t>
      </w:r>
      <w:r>
        <w:rPr>
          <w:rFonts w:hint="eastAsia" w:ascii="宋体" w:hAnsi="宋体" w:eastAsia="宋体" w:cs="宋体"/>
          <w:sz w:val="21"/>
          <w:szCs w:val="21"/>
        </w:rPr>
        <w:br w:type="textWrapping"/>
      </w:r>
      <w:r>
        <w:rPr>
          <w:rFonts w:hint="eastAsia" w:ascii="宋体" w:hAnsi="宋体" w:eastAsia="宋体" w:cs="宋体"/>
          <w:sz w:val="21"/>
          <w:szCs w:val="21"/>
        </w:rPr>
        <w:t>13. 高危作业安全管理制度（有限空间、动火、高处、起重）</w:t>
      </w:r>
      <w:r>
        <w:rPr>
          <w:rFonts w:hint="eastAsia" w:ascii="宋体" w:hAnsi="宋体" w:eastAsia="宋体" w:cs="宋体"/>
          <w:sz w:val="21"/>
          <w:szCs w:val="21"/>
        </w:rPr>
        <w:br w:type="textWrapping"/>
      </w:r>
      <w:r>
        <w:rPr>
          <w:rFonts w:hint="eastAsia" w:ascii="宋体" w:hAnsi="宋体" w:eastAsia="宋体" w:cs="宋体"/>
          <w:sz w:val="21"/>
          <w:szCs w:val="21"/>
        </w:rPr>
        <w:t>14. 设备检修、定期试验轮换管理制度</w:t>
      </w:r>
      <w:r>
        <w:rPr>
          <w:rFonts w:hint="eastAsia" w:ascii="宋体" w:hAnsi="宋体" w:eastAsia="宋体" w:cs="宋体"/>
          <w:sz w:val="21"/>
          <w:szCs w:val="21"/>
        </w:rPr>
        <w:br w:type="textWrapping"/>
      </w:r>
      <w:r>
        <w:rPr>
          <w:rFonts w:hint="eastAsia" w:ascii="宋体" w:hAnsi="宋体" w:eastAsia="宋体" w:cs="宋体"/>
          <w:sz w:val="21"/>
          <w:szCs w:val="21"/>
        </w:rPr>
        <w:t>15. 安全事件、事故调查处理管理制度</w:t>
      </w:r>
      <w:r>
        <w:rPr>
          <w:rFonts w:hint="eastAsia" w:ascii="宋体" w:hAnsi="宋体" w:eastAsia="宋体" w:cs="宋体"/>
          <w:sz w:val="21"/>
          <w:szCs w:val="21"/>
        </w:rPr>
        <w:br w:type="textWrapping"/>
      </w:r>
      <w:r>
        <w:rPr>
          <w:rFonts w:hint="eastAsia" w:ascii="宋体" w:hAnsi="宋体" w:eastAsia="宋体" w:cs="宋体"/>
          <w:sz w:val="21"/>
          <w:szCs w:val="21"/>
        </w:rPr>
        <w:t>16. 职业健康管理制度</w:t>
      </w:r>
      <w:r>
        <w:rPr>
          <w:rFonts w:hint="eastAsia" w:ascii="宋体" w:hAnsi="宋体" w:eastAsia="宋体" w:cs="宋体"/>
          <w:sz w:val="21"/>
          <w:szCs w:val="21"/>
        </w:rPr>
        <w:br w:type="textWrapping"/>
      </w:r>
      <w:r>
        <w:rPr>
          <w:rFonts w:hint="eastAsia" w:ascii="宋体" w:hAnsi="宋体" w:eastAsia="宋体" w:cs="宋体"/>
          <w:sz w:val="21"/>
          <w:szCs w:val="21"/>
        </w:rPr>
        <w:t>17. 应急管理、物资储备与演练管理制度</w:t>
      </w:r>
    </w:p>
    <w:p w14:paraId="72F42A6E">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6" w:name="heading_6"/>
      <w:r>
        <w:rPr>
          <w:rFonts w:hint="eastAsia" w:ascii="宋体" w:hAnsi="宋体" w:eastAsia="宋体" w:cs="宋体"/>
          <w:b/>
          <w:sz w:val="21"/>
          <w:szCs w:val="21"/>
        </w:rPr>
        <w:t>2.3 分层分级安全教育培训</w:t>
      </w:r>
      <w:bookmarkEnd w:id="6"/>
    </w:p>
    <w:p w14:paraId="00AEAE42">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落实国家能源局标准化常态化建设要求，建立新员工师徒实训、岗位常态化培训、特种作业持证复训、外包人员准入培训四维培训体系。重点强化消防处置、防雷防静电风险、厂区交通安全、尿素系统泄漏风险、静电引燃防控等专项培训，实现全员风险认知、应急技能、合规能力达标，夯实标准化建设人员基础。</w:t>
      </w:r>
    </w:p>
    <w:p w14:paraId="3D8E0AD7">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7" w:name="heading_7"/>
      <w:r>
        <w:rPr>
          <w:rFonts w:hint="eastAsia" w:ascii="宋体" w:hAnsi="宋体" w:eastAsia="宋体" w:cs="宋体"/>
          <w:b/>
          <w:sz w:val="21"/>
          <w:szCs w:val="21"/>
        </w:rPr>
        <w:t>2.4 现场标准化作业管控</w:t>
      </w:r>
      <w:bookmarkEnd w:id="7"/>
    </w:p>
    <w:p w14:paraId="5D9DF4F5">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严格执行两票三制核心制度，杜绝无票作业、违章作业。对动火、高处、受限空间、起重等高风险作业实施许可审批、全程监护、专项防控。推进现场可视化、标准化治理，规范安全标识、防护设施、通道管理，严控油区、制氢站、尿素罐区静电风险，规范厂区重载车辆通行管控，杜绝以包代管、失管失控，全面落实现场标准化管控要求。</w:t>
      </w:r>
    </w:p>
    <w:p w14:paraId="28F6F67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8" w:name="heading_8"/>
      <w:r>
        <w:rPr>
          <w:rFonts w:hint="eastAsia" w:ascii="宋体" w:hAnsi="宋体" w:eastAsia="宋体" w:cs="宋体"/>
          <w:b/>
          <w:sz w:val="21"/>
          <w:szCs w:val="21"/>
        </w:rPr>
        <w:t>2.5 双重预防闭环管控</w:t>
      </w:r>
      <w:bookmarkEnd w:id="8"/>
    </w:p>
    <w:p w14:paraId="7578B2D4">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建立全设备、全工序、全场景风险分级管控机制，独立建立消防火灾、特种设备、防雷防静电、厂区交通、尿素脱硝系统专项风险清单。落实隐患排查、登记、评估、整改、验收、销号闭环管理，对重大隐患实施挂牌督办、限期清零、专项管控，实现风险可控、隐患清零，契合能源局标准化闭环改进工作要求。</w:t>
      </w:r>
    </w:p>
    <w:p w14:paraId="426FF66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9" w:name="heading_9"/>
      <w:r>
        <w:rPr>
          <w:rFonts w:hint="eastAsia" w:ascii="宋体" w:hAnsi="宋体" w:eastAsia="宋体" w:cs="宋体"/>
          <w:b/>
          <w:sz w:val="21"/>
          <w:szCs w:val="21"/>
        </w:rPr>
        <w:t>2.6 应急管理体系建设</w:t>
      </w:r>
      <w:bookmarkEnd w:id="9"/>
    </w:p>
    <w:p w14:paraId="737007B7">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构建“综合预案+专项预案+现场处置方案”三级应急预案体系，适配燃煤电厂风险特征，形成完整应急架构。</w:t>
      </w:r>
    </w:p>
    <w:p w14:paraId="2A9843F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1）综合应急预案：生产安全事故综合应急预案</w:t>
      </w:r>
      <w:r>
        <w:rPr>
          <w:rFonts w:hint="eastAsia" w:ascii="宋体" w:hAnsi="宋体" w:eastAsia="宋体" w:cs="宋体"/>
          <w:sz w:val="21"/>
          <w:szCs w:val="21"/>
        </w:rPr>
        <w:br w:type="textWrapping"/>
      </w:r>
      <w:r>
        <w:rPr>
          <w:rFonts w:hint="eastAsia" w:ascii="宋体" w:hAnsi="宋体" w:eastAsia="宋体" w:cs="宋体"/>
          <w:sz w:val="21"/>
          <w:szCs w:val="21"/>
        </w:rPr>
        <w:t>2）专项应急预案：火灾事故、爆炸事故、特种设备事故、有限空间作业事故、全厂失电、水淹厂房、厂区交通事故、尿素脱硝系统泄漏、危险化学品（酸碱、氢气、油品）泄漏专项应急预案</w:t>
      </w:r>
      <w:r>
        <w:rPr>
          <w:rFonts w:hint="eastAsia" w:ascii="宋体" w:hAnsi="宋体" w:eastAsia="宋体" w:cs="宋体"/>
          <w:sz w:val="21"/>
          <w:szCs w:val="21"/>
        </w:rPr>
        <w:br w:type="textWrapping"/>
      </w:r>
      <w:r>
        <w:rPr>
          <w:rFonts w:hint="eastAsia" w:ascii="宋体" w:hAnsi="宋体" w:eastAsia="宋体" w:cs="宋体"/>
          <w:sz w:val="21"/>
          <w:szCs w:val="21"/>
        </w:rPr>
        <w:t>3）重点现场处置方案：锅炉 MFT 动作、汽轮机跳闸、主变故障、电缆火灾、输煤栈桥自燃、油区火灾、制氢站泄漏、尿素溶液泄漏、雷击灾害、高处坠落、触电、物体打击、化学灼伤、中毒窒息处置方案</w:t>
      </w:r>
    </w:p>
    <w:p w14:paraId="446EF164">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建立预案修订、实战演练、复盘改进长效机制，配齐应急物资装备，提升突发事件处置能力，完善标准化应急管理体系。</w:t>
      </w:r>
    </w:p>
    <w:p w14:paraId="12BAAE29">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10" w:name="heading_10"/>
      <w:r>
        <w:rPr>
          <w:rFonts w:hint="eastAsia" w:ascii="宋体" w:hAnsi="宋体" w:eastAsia="宋体" w:cs="宋体"/>
          <w:b/>
          <w:sz w:val="21"/>
          <w:szCs w:val="21"/>
        </w:rPr>
        <w:t>2.7 事件事故溯源管理</w:t>
      </w:r>
      <w:bookmarkEnd w:id="10"/>
    </w:p>
    <w:p w14:paraId="043A4EF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严格落实电力安全事件、险情、事故上报制度，执行“四不放过”原则。重点针对雷击险情、静电隐患、厂区交通事件、尿素系统异常、火灾隐患开展溯源分析，建立案例警示教育台账，实现举一反三、闭环整改，助力标准化体系持续优化。</w:t>
      </w:r>
    </w:p>
    <w:p w14:paraId="53113EC2">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11" w:name="heading_11"/>
      <w:r>
        <w:rPr>
          <w:rFonts w:hint="eastAsia" w:ascii="宋体" w:hAnsi="宋体" w:eastAsia="宋体" w:cs="宋体"/>
          <w:b/>
          <w:sz w:val="21"/>
          <w:szCs w:val="21"/>
        </w:rPr>
        <w:t>2.8 评价与持续改进</w:t>
      </w:r>
      <w:bookmarkEnd w:id="11"/>
    </w:p>
    <w:p w14:paraId="5820DFEF">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严格对标</w:t>
      </w:r>
      <w:r>
        <w:rPr>
          <w:rFonts w:hint="eastAsia" w:ascii="宋体" w:hAnsi="宋体" w:eastAsia="宋体" w:cs="宋体"/>
          <w:b/>
          <w:sz w:val="21"/>
          <w:szCs w:val="21"/>
        </w:rPr>
        <w:t>国能综通安全〔2025〕151号</w:t>
      </w:r>
      <w:r>
        <w:rPr>
          <w:rFonts w:hint="eastAsia" w:ascii="宋体" w:hAnsi="宋体" w:eastAsia="宋体" w:cs="宋体"/>
          <w:sz w:val="21"/>
          <w:szCs w:val="21"/>
        </w:rPr>
        <w:t>核心要求，依托PDCA循环管理模式，建立月度自查、季度专项督查、年度全面自评的常态化评审机制，落实企业每年至少1次标准化自主评审的硬性规定，重点核查体系运行、隐患治理、制度落地成效，针对防雷防静电缺陷、交通隐患、设备缺陷、制度漏洞动态优化提升，实现安全标准化持续迭代升级，按时完成年度标准化评估总结报告报送工作。</w:t>
      </w:r>
    </w:p>
    <w:p w14:paraId="44E6BC2B">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0"/>
        <w:rPr>
          <w:rFonts w:hint="eastAsia" w:ascii="宋体" w:hAnsi="宋体" w:eastAsia="宋体" w:cs="宋体"/>
          <w:sz w:val="21"/>
          <w:szCs w:val="21"/>
        </w:rPr>
      </w:pPr>
      <w:bookmarkStart w:id="12" w:name="heading_12"/>
      <w:r>
        <w:rPr>
          <w:rFonts w:hint="eastAsia" w:ascii="宋体" w:hAnsi="宋体" w:eastAsia="宋体" w:cs="宋体"/>
          <w:b/>
          <w:sz w:val="21"/>
          <w:szCs w:val="21"/>
        </w:rPr>
        <w:t>3 标准化量化评审等级体系</w:t>
      </w:r>
      <w:bookmarkEnd w:id="12"/>
    </w:p>
    <w:p w14:paraId="55F23864">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DL/T 3006-2025设置</w:t>
      </w:r>
      <w:r>
        <w:rPr>
          <w:rFonts w:hint="eastAsia" w:ascii="宋体" w:hAnsi="宋体" w:eastAsia="宋体" w:cs="宋体"/>
          <w:b/>
          <w:sz w:val="21"/>
          <w:szCs w:val="21"/>
        </w:rPr>
        <w:t>基准总分2150分</w:t>
      </w:r>
      <w:r>
        <w:rPr>
          <w:rFonts w:hint="eastAsia" w:ascii="宋体" w:hAnsi="宋体" w:eastAsia="宋体" w:cs="宋体"/>
          <w:sz w:val="21"/>
          <w:szCs w:val="21"/>
        </w:rPr>
        <w:t>的量化评审体系，统一全国燃煤电厂标准化达标判定尺度，评审时剔除不适用评审项，按剩余有效分值计算得分率核定等级，评审结果严格对接国家能源局标准化奖惩与监管机制：</w:t>
      </w:r>
    </w:p>
    <w:p w14:paraId="4C3F1094">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1.一级标准化：得分率≥90%（国家能源局审核）</w:t>
      </w:r>
      <w:r>
        <w:rPr>
          <w:rFonts w:hint="eastAsia" w:ascii="宋体" w:hAnsi="宋体" w:eastAsia="宋体" w:cs="宋体"/>
          <w:sz w:val="21"/>
          <w:szCs w:val="21"/>
        </w:rPr>
        <w:br w:type="textWrapping"/>
      </w:r>
      <w:r>
        <w:rPr>
          <w:rFonts w:hint="eastAsia" w:ascii="宋体" w:hAnsi="宋体" w:eastAsia="宋体" w:cs="宋体"/>
          <w:sz w:val="21"/>
          <w:szCs w:val="21"/>
        </w:rPr>
        <w:t>2.二级标准化：80%≤得分率＜90%（监管派出机构审核）</w:t>
      </w:r>
      <w:r>
        <w:rPr>
          <w:rFonts w:hint="eastAsia" w:ascii="宋体" w:hAnsi="宋体" w:eastAsia="宋体" w:cs="宋体"/>
          <w:sz w:val="21"/>
          <w:szCs w:val="21"/>
        </w:rPr>
        <w:br w:type="textWrapping"/>
      </w:r>
      <w:r>
        <w:rPr>
          <w:rFonts w:hint="eastAsia" w:ascii="宋体" w:hAnsi="宋体" w:eastAsia="宋体" w:cs="宋体"/>
          <w:sz w:val="21"/>
          <w:szCs w:val="21"/>
        </w:rPr>
        <w:t>3.三级标准化：70%≤得分率＜80%（监管派出机构审核）</w:t>
      </w:r>
    </w:p>
    <w:p w14:paraId="5BAC95E8">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标准化证书有效期 5 年，期满需复审换证。结合能源局151号文奖惩机制，标准化达标优秀企业可享受监管检查频次减免，存在重大隐患未闭环、瞒报事故、重大设施失效等问题，直接撤销标准化等级，纳入不良信用监管清单。</w:t>
      </w:r>
    </w:p>
    <w:p w14:paraId="6C107DDB">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0"/>
        <w:rPr>
          <w:rFonts w:hint="eastAsia" w:ascii="宋体" w:hAnsi="宋体" w:eastAsia="宋体" w:cs="宋体"/>
          <w:sz w:val="21"/>
          <w:szCs w:val="21"/>
        </w:rPr>
      </w:pPr>
      <w:bookmarkStart w:id="13" w:name="heading_13"/>
      <w:r>
        <w:rPr>
          <w:rFonts w:hint="eastAsia" w:ascii="宋体" w:hAnsi="宋体" w:eastAsia="宋体" w:cs="宋体"/>
          <w:b/>
          <w:sz w:val="21"/>
          <w:szCs w:val="21"/>
        </w:rPr>
        <w:t>4 燃煤电厂全维度重大隐患判定清单（无液氨版）</w:t>
      </w:r>
      <w:bookmarkEnd w:id="13"/>
    </w:p>
    <w:p w14:paraId="24898F33">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本清单包含两类内容：一是依据《电力生产重大事故隐患判定标准》（国家发展改革委令第41号）界定的法定电力重大事故隐患；二是DL/T 3006-2025中规定的标准化体系重大否决类缺陷，两类均实施挂牌督办；其中仅41号令列明项属于法定重大事故隐患。同时契合国家能源局标准化专项整治要求，将重大隐患闭环治理作为标准化达标、年度自评的核心考核指标。</w:t>
      </w:r>
    </w:p>
    <w:p w14:paraId="2B44A53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依据《电力生产重大事故隐患判定标准》（国家发展改革委令第41号）法定判定规则，参考《防止电力生产事故的二十五项重点要求（2023版）》、GB 45067-2024 </w:t>
      </w:r>
      <w:r>
        <w:rPr>
          <w:rFonts w:hint="eastAsia" w:ascii="宋体" w:hAnsi="宋体" w:eastAsia="宋体" w:cs="宋体"/>
          <w:sz w:val="21"/>
          <w:szCs w:val="21"/>
          <w:lang w:eastAsia="zh-CN"/>
        </w:rPr>
        <w:t>《</w:t>
      </w:r>
      <w:r>
        <w:rPr>
          <w:rFonts w:hint="eastAsia" w:ascii="宋体" w:hAnsi="宋体" w:eastAsia="宋体" w:cs="宋体"/>
          <w:sz w:val="21"/>
          <w:szCs w:val="21"/>
        </w:rPr>
        <w:t>特种设备重大事故隐患判定准则》、《防雷安全领域重大事故隐患判定标准（试行）》</w:t>
      </w:r>
      <w:r>
        <w:rPr>
          <w:rFonts w:hint="eastAsia" w:ascii="宋体" w:hAnsi="宋体" w:eastAsia="宋体" w:cs="宋体"/>
          <w:sz w:val="21"/>
          <w:szCs w:val="21"/>
          <w:lang w:eastAsia="zh-CN"/>
        </w:rPr>
        <w:t>、GB 35181-2025《重大火灾隐患判定规则》</w:t>
      </w:r>
      <w:r>
        <w:rPr>
          <w:rFonts w:hint="eastAsia" w:ascii="宋体" w:hAnsi="宋体" w:eastAsia="宋体" w:cs="宋体"/>
          <w:sz w:val="21"/>
          <w:szCs w:val="21"/>
        </w:rPr>
        <w:t>及DL/T 3006-2025体系管控要求，将燃煤电厂重大隐患划分为八大类别，全部实行挂牌督办、停运整改、严禁边改边运刚性管控。</w:t>
      </w:r>
    </w:p>
    <w:p w14:paraId="16D012DD">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14" w:name="heading_14"/>
      <w:r>
        <w:rPr>
          <w:rFonts w:hint="eastAsia" w:ascii="宋体" w:hAnsi="宋体" w:eastAsia="宋体" w:cs="宋体"/>
          <w:b/>
          <w:sz w:val="21"/>
          <w:szCs w:val="21"/>
        </w:rPr>
        <w:t>4.1 消防与火灾类重大隐患</w:t>
      </w:r>
      <w:bookmarkEnd w:id="14"/>
    </w:p>
    <w:p w14:paraId="2FE40A88">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1. 全厂消防主泵、稳压泵、消防联动控制系统失效，主干管网断裂、水压长期不足，消防系统整体瘫痪。</w:t>
      </w:r>
      <w:r>
        <w:rPr>
          <w:rFonts w:hint="eastAsia" w:ascii="宋体" w:hAnsi="宋体" w:eastAsia="宋体" w:cs="宋体"/>
          <w:sz w:val="21"/>
          <w:szCs w:val="21"/>
        </w:rPr>
        <w:br w:type="textWrapping"/>
      </w:r>
      <w:r>
        <w:rPr>
          <w:rFonts w:hint="eastAsia" w:ascii="宋体" w:hAnsi="宋体" w:eastAsia="宋体" w:cs="宋体"/>
          <w:sz w:val="21"/>
          <w:szCs w:val="21"/>
        </w:rPr>
        <w:t>2. 配电室、电缆夹层、输煤栈桥、油区、尿素罐区固定灭火系统失效、屏蔽、长期退出。</w:t>
      </w:r>
      <w:r>
        <w:rPr>
          <w:rFonts w:hint="eastAsia" w:ascii="宋体" w:hAnsi="宋体" w:eastAsia="宋体" w:cs="宋体"/>
          <w:sz w:val="21"/>
          <w:szCs w:val="21"/>
        </w:rPr>
        <w:br w:type="textWrapping"/>
      </w:r>
      <w:r>
        <w:rPr>
          <w:rFonts w:hint="eastAsia" w:ascii="宋体" w:hAnsi="宋体" w:eastAsia="宋体" w:cs="宋体"/>
          <w:sz w:val="21"/>
          <w:szCs w:val="21"/>
        </w:rPr>
        <w:t>3. 电缆孔洞封堵破损、缺失，电缆积灰严重，防火分隔措施失效，存在自燃风险。</w:t>
      </w:r>
      <w:r>
        <w:rPr>
          <w:rFonts w:hint="eastAsia" w:ascii="宋体" w:hAnsi="宋体" w:eastAsia="宋体" w:cs="宋体"/>
          <w:sz w:val="21"/>
          <w:szCs w:val="21"/>
        </w:rPr>
        <w:br w:type="textWrapping"/>
      </w:r>
      <w:r>
        <w:rPr>
          <w:rFonts w:hint="eastAsia" w:ascii="宋体" w:hAnsi="宋体" w:eastAsia="宋体" w:cs="宋体"/>
          <w:sz w:val="21"/>
          <w:szCs w:val="21"/>
        </w:rPr>
        <w:t>4. 输煤系统积煤积粉超标、抑尘及消防喷淋失效，煤粉堆积自燃隐患长期存在。</w:t>
      </w:r>
      <w:r>
        <w:rPr>
          <w:rFonts w:hint="eastAsia" w:ascii="宋体" w:hAnsi="宋体" w:eastAsia="宋体" w:cs="宋体"/>
          <w:sz w:val="21"/>
          <w:szCs w:val="21"/>
        </w:rPr>
        <w:br w:type="textWrapping"/>
      </w:r>
      <w:r>
        <w:rPr>
          <w:rFonts w:hint="eastAsia" w:ascii="宋体" w:hAnsi="宋体" w:eastAsia="宋体" w:cs="宋体"/>
          <w:sz w:val="21"/>
          <w:szCs w:val="21"/>
        </w:rPr>
        <w:t>5. 油区、制氢站、尿素罐区报警、围堰、消防喷淋、泄漏监测设施失效。</w:t>
      </w:r>
      <w:r>
        <w:rPr>
          <w:rFonts w:hint="eastAsia" w:ascii="宋体" w:hAnsi="宋体" w:eastAsia="宋体" w:cs="宋体"/>
          <w:sz w:val="21"/>
          <w:szCs w:val="21"/>
        </w:rPr>
        <w:br w:type="textWrapping"/>
      </w:r>
      <w:r>
        <w:rPr>
          <w:rFonts w:hint="eastAsia" w:ascii="宋体" w:hAnsi="宋体" w:eastAsia="宋体" w:cs="宋体"/>
          <w:sz w:val="21"/>
          <w:szCs w:val="21"/>
        </w:rPr>
        <w:t>6. 煤粉、油区、电缆密集区域无票动火、监护脱岗、防火措施缺失。</w:t>
      </w:r>
      <w:r>
        <w:rPr>
          <w:rFonts w:hint="eastAsia" w:ascii="宋体" w:hAnsi="宋体" w:eastAsia="宋体" w:cs="宋体"/>
          <w:sz w:val="21"/>
          <w:szCs w:val="21"/>
        </w:rPr>
        <w:br w:type="textWrapping"/>
      </w:r>
      <w:r>
        <w:rPr>
          <w:rFonts w:hint="eastAsia" w:ascii="宋体" w:hAnsi="宋体" w:eastAsia="宋体" w:cs="宋体"/>
          <w:sz w:val="21"/>
          <w:szCs w:val="21"/>
        </w:rPr>
        <w:t>7. 消防器材大面积过期、失效，火灾报警系统大面积故障、屏蔽未修复。</w:t>
      </w:r>
    </w:p>
    <w:p w14:paraId="57C7C4FA">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15" w:name="heading_15"/>
      <w:r>
        <w:rPr>
          <w:rFonts w:hint="eastAsia" w:ascii="宋体" w:hAnsi="宋体" w:eastAsia="宋体" w:cs="宋体"/>
          <w:b/>
          <w:sz w:val="21"/>
          <w:szCs w:val="21"/>
        </w:rPr>
        <w:t>4.2 特种设备类重大隐患</w:t>
      </w:r>
      <w:bookmarkEnd w:id="15"/>
    </w:p>
    <w:p w14:paraId="620A1D88">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1. 电站锅炉本体、受热面、汽包存在裂纹、鼓包、腐蚀减薄超标缺陷带病运行，主保护、安全附件失效或退出。</w:t>
      </w:r>
      <w:r>
        <w:rPr>
          <w:rFonts w:hint="eastAsia" w:ascii="宋体" w:hAnsi="宋体" w:eastAsia="宋体" w:cs="宋体"/>
          <w:sz w:val="21"/>
          <w:szCs w:val="21"/>
        </w:rPr>
        <w:br w:type="textWrapping"/>
      </w:r>
      <w:r>
        <w:rPr>
          <w:rFonts w:hint="eastAsia" w:ascii="宋体" w:hAnsi="宋体" w:eastAsia="宋体" w:cs="宋体"/>
          <w:sz w:val="21"/>
          <w:szCs w:val="21"/>
        </w:rPr>
        <w:t>2. 除氧器、高低压加热器、尿素储罐、储油罐等压力容器超期未检、检验不合格、安全附件失效。</w:t>
      </w:r>
      <w:r>
        <w:rPr>
          <w:rFonts w:hint="eastAsia" w:ascii="宋体" w:hAnsi="宋体" w:eastAsia="宋体" w:cs="宋体"/>
          <w:sz w:val="21"/>
          <w:szCs w:val="21"/>
        </w:rPr>
        <w:br w:type="textWrapping"/>
      </w:r>
      <w:r>
        <w:rPr>
          <w:rFonts w:hint="eastAsia" w:ascii="宋体" w:hAnsi="宋体" w:eastAsia="宋体" w:cs="宋体"/>
          <w:sz w:val="21"/>
          <w:szCs w:val="21"/>
        </w:rPr>
        <w:t>3. 主蒸汽、给水、尿素输送、氢气压力管道壁厚超标、裂纹、支吊架脱落、蠕胀超标未治理。</w:t>
      </w:r>
      <w:r>
        <w:rPr>
          <w:rFonts w:hint="eastAsia" w:ascii="宋体" w:hAnsi="宋体" w:eastAsia="宋体" w:cs="宋体"/>
          <w:sz w:val="21"/>
          <w:szCs w:val="21"/>
        </w:rPr>
        <w:br w:type="textWrapping"/>
      </w:r>
      <w:r>
        <w:rPr>
          <w:rFonts w:hint="eastAsia" w:ascii="宋体" w:hAnsi="宋体" w:eastAsia="宋体" w:cs="宋体"/>
          <w:sz w:val="21"/>
          <w:szCs w:val="21"/>
        </w:rPr>
        <w:t>4. 斗轮机、行车、起重设备限位、制动失效，钢丝绳超标损坏、超期未检带病作业。</w:t>
      </w:r>
      <w:r>
        <w:rPr>
          <w:rFonts w:hint="eastAsia" w:ascii="宋体" w:hAnsi="宋体" w:eastAsia="宋体" w:cs="宋体"/>
          <w:sz w:val="21"/>
          <w:szCs w:val="21"/>
        </w:rPr>
        <w:br w:type="textWrapping"/>
      </w:r>
      <w:r>
        <w:rPr>
          <w:rFonts w:hint="eastAsia" w:ascii="宋体" w:hAnsi="宋体" w:eastAsia="宋体" w:cs="宋体"/>
          <w:sz w:val="21"/>
          <w:szCs w:val="21"/>
        </w:rPr>
        <w:t>5. 特种设备未登记建档、无证使用、人员无证上岗、不合格设备持续投运。</w:t>
      </w:r>
    </w:p>
    <w:p w14:paraId="3ED28C1A">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16" w:name="heading_16"/>
      <w:r>
        <w:rPr>
          <w:rFonts w:hint="eastAsia" w:ascii="宋体" w:hAnsi="宋体" w:eastAsia="宋体" w:cs="宋体"/>
          <w:b/>
          <w:sz w:val="21"/>
          <w:szCs w:val="21"/>
        </w:rPr>
        <w:t>4.3 防雷防静电类重大隐患</w:t>
      </w:r>
      <w:bookmarkEnd w:id="16"/>
    </w:p>
    <w:p w14:paraId="2A0045F9">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1. 爆炸危险区域防雷装置超期未检、检测不合格，引下线锈蚀断裂、接地装置失效，直击雷防护失效。</w:t>
      </w:r>
      <w:r>
        <w:rPr>
          <w:rFonts w:hint="eastAsia" w:ascii="宋体" w:hAnsi="宋体" w:eastAsia="宋体" w:cs="宋体"/>
          <w:sz w:val="21"/>
          <w:szCs w:val="21"/>
        </w:rPr>
        <w:br w:type="textWrapping"/>
      </w:r>
      <w:r>
        <w:rPr>
          <w:rFonts w:hint="eastAsia" w:ascii="宋体" w:hAnsi="宋体" w:eastAsia="宋体" w:cs="宋体"/>
          <w:sz w:val="21"/>
          <w:szCs w:val="21"/>
        </w:rPr>
        <w:t>2. 易燃易爆管道、储罐、装卸区域静电跨接缺失、断裂、接地电阻超标。</w:t>
      </w:r>
      <w:r>
        <w:rPr>
          <w:rFonts w:hint="eastAsia" w:ascii="宋体" w:hAnsi="宋体" w:eastAsia="宋体" w:cs="宋体"/>
          <w:sz w:val="21"/>
          <w:szCs w:val="21"/>
        </w:rPr>
        <w:br w:type="textWrapping"/>
      </w:r>
      <w:r>
        <w:rPr>
          <w:rFonts w:hint="eastAsia" w:ascii="宋体" w:hAnsi="宋体" w:eastAsia="宋体" w:cs="宋体"/>
          <w:sz w:val="21"/>
          <w:szCs w:val="21"/>
        </w:rPr>
        <w:t>3. 氢气、油品、尿素卸料口无静电接地装置，粉尘区域防静电措施缺失，未做等电位连接。</w:t>
      </w:r>
      <w:r>
        <w:rPr>
          <w:rFonts w:hint="eastAsia" w:ascii="宋体" w:hAnsi="宋体" w:eastAsia="宋体" w:cs="宋体"/>
          <w:sz w:val="21"/>
          <w:szCs w:val="21"/>
        </w:rPr>
        <w:br w:type="textWrapping"/>
      </w:r>
      <w:r>
        <w:rPr>
          <w:rFonts w:hint="eastAsia" w:ascii="宋体" w:hAnsi="宋体" w:eastAsia="宋体" w:cs="宋体"/>
          <w:sz w:val="21"/>
          <w:szCs w:val="21"/>
        </w:rPr>
        <w:t>4. 未按年度开展防雷防静电专项检测，隐患长期不闭环。</w:t>
      </w:r>
    </w:p>
    <w:p w14:paraId="2289218D">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17" w:name="heading_17"/>
      <w:r>
        <w:rPr>
          <w:rFonts w:hint="eastAsia" w:ascii="宋体" w:hAnsi="宋体" w:eastAsia="宋体" w:cs="宋体"/>
          <w:b/>
          <w:sz w:val="21"/>
          <w:szCs w:val="21"/>
        </w:rPr>
        <w:t>4.4 厂区交通类重大隐患</w:t>
      </w:r>
      <w:bookmarkEnd w:id="17"/>
    </w:p>
    <w:p w14:paraId="27B2F5BF">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1. 厂区主干道、煤场、交叉口、盲区警示、限速、反光标识缺失，临边陡坡无防护设施。</w:t>
      </w:r>
      <w:r>
        <w:rPr>
          <w:rFonts w:hint="eastAsia" w:ascii="宋体" w:hAnsi="宋体" w:eastAsia="宋体" w:cs="宋体"/>
          <w:sz w:val="21"/>
          <w:szCs w:val="21"/>
        </w:rPr>
        <w:br w:type="textWrapping"/>
      </w:r>
      <w:r>
        <w:rPr>
          <w:rFonts w:hint="eastAsia" w:ascii="宋体" w:hAnsi="宋体" w:eastAsia="宋体" w:cs="宋体"/>
          <w:sz w:val="21"/>
          <w:szCs w:val="21"/>
        </w:rPr>
        <w:t>2. 重载车辆超速、违规载人，不合格车辆、无资质车辆进入生产区域作业。</w:t>
      </w:r>
      <w:r>
        <w:rPr>
          <w:rFonts w:hint="eastAsia" w:ascii="宋体" w:hAnsi="宋体" w:eastAsia="宋体" w:cs="宋体"/>
          <w:sz w:val="21"/>
          <w:szCs w:val="21"/>
        </w:rPr>
        <w:br w:type="textWrapping"/>
      </w:r>
      <w:r>
        <w:rPr>
          <w:rFonts w:hint="eastAsia" w:ascii="宋体" w:hAnsi="宋体" w:eastAsia="宋体" w:cs="宋体"/>
          <w:sz w:val="21"/>
          <w:szCs w:val="21"/>
        </w:rPr>
        <w:t>3. 铁跨道口、栈桥交叉路口无预警、无值守、无防护，应急通道长期堵塞。</w:t>
      </w:r>
      <w:r>
        <w:rPr>
          <w:rFonts w:hint="eastAsia" w:ascii="宋体" w:hAnsi="宋体" w:eastAsia="宋体" w:cs="宋体"/>
          <w:sz w:val="21"/>
          <w:szCs w:val="21"/>
        </w:rPr>
        <w:br w:type="textWrapping"/>
      </w:r>
      <w:r>
        <w:rPr>
          <w:rFonts w:hint="eastAsia" w:ascii="宋体" w:hAnsi="宋体" w:eastAsia="宋体" w:cs="宋体"/>
          <w:sz w:val="21"/>
          <w:szCs w:val="21"/>
        </w:rPr>
        <w:t>4. 厂内驾驶员未培训上岗，外包车辆未纳入统一安全管控。</w:t>
      </w:r>
    </w:p>
    <w:p w14:paraId="40ECB364">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18" w:name="heading_18"/>
      <w:r>
        <w:rPr>
          <w:rFonts w:hint="eastAsia" w:ascii="宋体" w:hAnsi="宋体" w:eastAsia="宋体" w:cs="宋体"/>
          <w:b/>
          <w:sz w:val="21"/>
          <w:szCs w:val="21"/>
        </w:rPr>
        <w:t>4.5 锅炉制粉输煤系统重大隐患</w:t>
      </w:r>
      <w:bookmarkEnd w:id="18"/>
    </w:p>
    <w:p w14:paraId="3483D10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1. 锅炉 MFT 主保护无合规审批长期退出。</w:t>
      </w:r>
      <w:r>
        <w:rPr>
          <w:rFonts w:hint="eastAsia" w:ascii="宋体" w:hAnsi="宋体" w:eastAsia="宋体" w:cs="宋体"/>
          <w:sz w:val="21"/>
          <w:szCs w:val="21"/>
        </w:rPr>
        <w:br w:type="textWrapping"/>
      </w:r>
      <w:r>
        <w:rPr>
          <w:rFonts w:hint="eastAsia" w:ascii="宋体" w:hAnsi="宋体" w:eastAsia="宋体" w:cs="宋体"/>
          <w:sz w:val="21"/>
          <w:szCs w:val="21"/>
        </w:rPr>
        <w:t>2. 制粉系统防爆、惰化、消防保护设施失效。</w:t>
      </w:r>
      <w:r>
        <w:rPr>
          <w:rFonts w:hint="eastAsia" w:ascii="宋体" w:hAnsi="宋体" w:eastAsia="宋体" w:cs="宋体"/>
          <w:sz w:val="21"/>
          <w:szCs w:val="21"/>
        </w:rPr>
        <w:br w:type="textWrapping"/>
      </w:r>
      <w:r>
        <w:rPr>
          <w:rFonts w:hint="eastAsia" w:ascii="宋体" w:hAnsi="宋体" w:eastAsia="宋体" w:cs="宋体"/>
          <w:sz w:val="21"/>
          <w:szCs w:val="21"/>
        </w:rPr>
        <w:t>3. 煤粉仓积粉严重、清粉不到位，存在自燃爆炸风险。</w:t>
      </w:r>
      <w:r>
        <w:rPr>
          <w:rFonts w:hint="eastAsia" w:ascii="宋体" w:hAnsi="宋体" w:eastAsia="宋体" w:cs="宋体"/>
          <w:sz w:val="21"/>
          <w:szCs w:val="21"/>
        </w:rPr>
        <w:br w:type="textWrapping"/>
      </w:r>
      <w:r>
        <w:rPr>
          <w:rFonts w:hint="eastAsia" w:ascii="宋体" w:hAnsi="宋体" w:eastAsia="宋体" w:cs="宋体"/>
          <w:sz w:val="21"/>
          <w:szCs w:val="21"/>
        </w:rPr>
        <w:t>4. 锅炉四管泄漏超标缺陷长期带病运行。</w:t>
      </w:r>
    </w:p>
    <w:p w14:paraId="04CEE998">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19" w:name="heading_19"/>
      <w:r>
        <w:rPr>
          <w:rFonts w:hint="eastAsia" w:ascii="宋体" w:hAnsi="宋体" w:eastAsia="宋体" w:cs="宋体"/>
          <w:b/>
          <w:sz w:val="21"/>
          <w:szCs w:val="21"/>
        </w:rPr>
        <w:t>4.6 电气热控系统重大隐患</w:t>
      </w:r>
      <w:bookmarkEnd w:id="19"/>
    </w:p>
    <w:p w14:paraId="383AA60D">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1. 主变、高抗重大设备缺陷未处置。</w:t>
      </w:r>
      <w:r>
        <w:rPr>
          <w:rFonts w:hint="eastAsia" w:ascii="宋体" w:hAnsi="宋体" w:eastAsia="宋体" w:cs="宋体"/>
          <w:sz w:val="21"/>
          <w:szCs w:val="21"/>
        </w:rPr>
        <w:br w:type="textWrapping"/>
      </w:r>
      <w:r>
        <w:rPr>
          <w:rFonts w:hint="eastAsia" w:ascii="宋体" w:hAnsi="宋体" w:eastAsia="宋体" w:cs="宋体"/>
          <w:sz w:val="21"/>
          <w:szCs w:val="21"/>
        </w:rPr>
        <w:t>2. 直流系统整组蓄电池失效、直流供电异常。</w:t>
      </w:r>
      <w:r>
        <w:rPr>
          <w:rFonts w:hint="eastAsia" w:ascii="宋体" w:hAnsi="宋体" w:eastAsia="宋体" w:cs="宋体"/>
          <w:sz w:val="21"/>
          <w:szCs w:val="21"/>
        </w:rPr>
        <w:br w:type="textWrapping"/>
      </w:r>
      <w:r>
        <w:rPr>
          <w:rFonts w:hint="eastAsia" w:ascii="宋体" w:hAnsi="宋体" w:eastAsia="宋体" w:cs="宋体"/>
          <w:sz w:val="21"/>
          <w:szCs w:val="21"/>
        </w:rPr>
        <w:t>3. 机组及重要辅机主保护擅自退出、逻辑失效。</w:t>
      </w:r>
      <w:r>
        <w:rPr>
          <w:rFonts w:hint="eastAsia" w:ascii="宋体" w:hAnsi="宋体" w:eastAsia="宋体" w:cs="宋体"/>
          <w:sz w:val="21"/>
          <w:szCs w:val="21"/>
        </w:rPr>
        <w:br w:type="textWrapping"/>
      </w:r>
      <w:r>
        <w:rPr>
          <w:rFonts w:hint="eastAsia" w:ascii="宋体" w:hAnsi="宋体" w:eastAsia="宋体" w:cs="宋体"/>
          <w:sz w:val="21"/>
          <w:szCs w:val="21"/>
        </w:rPr>
        <w:t>4. 关键监测仪表、联锁装置失效长期未修复。</w:t>
      </w:r>
    </w:p>
    <w:p w14:paraId="190AE18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20" w:name="heading_20"/>
      <w:r>
        <w:rPr>
          <w:rFonts w:hint="eastAsia" w:ascii="宋体" w:hAnsi="宋体" w:eastAsia="宋体" w:cs="宋体"/>
          <w:b/>
          <w:sz w:val="21"/>
          <w:szCs w:val="21"/>
        </w:rPr>
        <w:t>4.7 重大危险源管控重大隐患</w:t>
      </w:r>
      <w:bookmarkEnd w:id="20"/>
    </w:p>
    <w:p w14:paraId="3BA7FB19">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油库、制氢站、尿素储罐区监测报警、消防设施、防渗围堰、通风系统失效，重大危险源评估、备案、管控措施缺失。</w:t>
      </w:r>
    </w:p>
    <w:p w14:paraId="3B3D5C8E">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21" w:name="heading_21"/>
      <w:r>
        <w:rPr>
          <w:rFonts w:hint="eastAsia" w:ascii="宋体" w:hAnsi="宋体" w:eastAsia="宋体" w:cs="宋体"/>
          <w:b/>
          <w:sz w:val="21"/>
          <w:szCs w:val="21"/>
        </w:rPr>
        <w:t>4.8 外包及高风险作业重大隐患</w:t>
      </w:r>
      <w:bookmarkEnd w:id="21"/>
    </w:p>
    <w:p w14:paraId="568F0B7A">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1. 有限空间风险辨识缺失、盲目作业。</w:t>
      </w:r>
      <w:r>
        <w:rPr>
          <w:rFonts w:hint="eastAsia" w:ascii="宋体" w:hAnsi="宋体" w:eastAsia="宋体" w:cs="宋体"/>
          <w:sz w:val="21"/>
          <w:szCs w:val="21"/>
        </w:rPr>
        <w:br w:type="textWrapping"/>
      </w:r>
      <w:r>
        <w:rPr>
          <w:rFonts w:hint="eastAsia" w:ascii="宋体" w:hAnsi="宋体" w:eastAsia="宋体" w:cs="宋体"/>
          <w:sz w:val="21"/>
          <w:szCs w:val="21"/>
        </w:rPr>
        <w:t>2. 外包工程违法分包、无资质施工、高风险作业失管失控。</w:t>
      </w:r>
      <w:r>
        <w:rPr>
          <w:rFonts w:hint="eastAsia" w:ascii="宋体" w:hAnsi="宋体" w:eastAsia="宋体" w:cs="宋体"/>
          <w:sz w:val="21"/>
          <w:szCs w:val="21"/>
        </w:rPr>
        <w:br w:type="textWrapping"/>
      </w:r>
      <w:r>
        <w:rPr>
          <w:rFonts w:hint="eastAsia" w:ascii="宋体" w:hAnsi="宋体" w:eastAsia="宋体" w:cs="宋体"/>
          <w:sz w:val="21"/>
          <w:szCs w:val="21"/>
        </w:rPr>
        <w:t>3. 重大检修方案未审批、专项安全措施缺失。</w:t>
      </w:r>
    </w:p>
    <w:p w14:paraId="14BB47C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0"/>
        <w:rPr>
          <w:rFonts w:hint="eastAsia" w:ascii="宋体" w:hAnsi="宋体" w:eastAsia="宋体" w:cs="宋体"/>
          <w:sz w:val="21"/>
          <w:szCs w:val="21"/>
        </w:rPr>
      </w:pPr>
      <w:bookmarkStart w:id="22" w:name="heading_22"/>
      <w:r>
        <w:rPr>
          <w:rFonts w:hint="eastAsia" w:ascii="宋体" w:hAnsi="宋体" w:eastAsia="宋体" w:cs="宋体"/>
          <w:b/>
          <w:sz w:val="21"/>
          <w:szCs w:val="21"/>
        </w:rPr>
        <w:t>5 企业标准化落地实施路径</w:t>
      </w:r>
      <w:bookmarkEnd w:id="22"/>
    </w:p>
    <w:p w14:paraId="2643682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结合DL/T 3006-2025新标准要求与国家能源局</w:t>
      </w:r>
      <w:r>
        <w:rPr>
          <w:rFonts w:hint="eastAsia" w:ascii="宋体" w:hAnsi="宋体" w:eastAsia="宋体" w:cs="宋体"/>
          <w:b/>
          <w:sz w:val="21"/>
          <w:szCs w:val="21"/>
        </w:rPr>
        <w:t>国能综通安全〔2025〕151号</w:t>
      </w:r>
      <w:r>
        <w:rPr>
          <w:rFonts w:hint="eastAsia" w:ascii="宋体" w:hAnsi="宋体" w:eastAsia="宋体" w:cs="宋体"/>
          <w:sz w:val="21"/>
          <w:szCs w:val="21"/>
        </w:rPr>
        <w:t>标准化建设、常态化自评、闭环管控核心要求，贴合火电企业现场实际，构建四步闭环落地体系，实现体系合规、隐患清零、评审达标、尽职免责，全面满足能源监管考核标准。</w:t>
      </w:r>
    </w:p>
    <w:p w14:paraId="0C2B7EFB">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23" w:name="heading_23"/>
      <w:r>
        <w:rPr>
          <w:rFonts w:hint="eastAsia" w:ascii="宋体" w:hAnsi="宋体" w:eastAsia="宋体" w:cs="宋体"/>
          <w:b/>
          <w:sz w:val="21"/>
          <w:szCs w:val="21"/>
        </w:rPr>
        <w:t>5.1 全面对标，多维隐患排查</w:t>
      </w:r>
      <w:bookmarkEnd w:id="23"/>
    </w:p>
    <w:p w14:paraId="174D739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对照新标准八大要素及国家能源局标准化监管细则，同步开展制度差距排查、现场隐患排查、重大隐患专项排查，建立体系整改清单、一般隐患清单、重大隐患挂牌清单三类台账，全覆盖补齐标准化建设短板。</w:t>
      </w:r>
    </w:p>
    <w:p w14:paraId="4A0CCA74">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24" w:name="heading_24"/>
      <w:r>
        <w:rPr>
          <w:rFonts w:hint="eastAsia" w:ascii="宋体" w:hAnsi="宋体" w:eastAsia="宋体" w:cs="宋体"/>
          <w:b/>
          <w:sz w:val="21"/>
          <w:szCs w:val="21"/>
        </w:rPr>
        <w:t>5.2 体系重构，专项闭环治理</w:t>
      </w:r>
      <w:bookmarkEnd w:id="24"/>
    </w:p>
    <w:p w14:paraId="0C752A14">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依据能源局企业自建标准化实施细则要求，修订完善全套管理制度与应急预案，针对性补齐尿素脱硝、防雷防静电、厂区交通专项管控体系。对重大隐患执行停机整改、专项方案、专人督办、验收销号闭环管理，确保隐患治理与标准化体系建设同步落地。</w:t>
      </w:r>
    </w:p>
    <w:p w14:paraId="16A6C86A">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25" w:name="heading_25"/>
      <w:r>
        <w:rPr>
          <w:rFonts w:hint="eastAsia" w:ascii="宋体" w:hAnsi="宋体" w:eastAsia="宋体" w:cs="宋体"/>
          <w:b/>
          <w:sz w:val="21"/>
          <w:szCs w:val="21"/>
        </w:rPr>
        <w:t>5.3 常态督查，动态风险管控</w:t>
      </w:r>
      <w:bookmarkEnd w:id="25"/>
    </w:p>
    <w:p w14:paraId="382B56E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落实能源局常态化管控要求，建立月度常规自查、季度专业专项督查、年度全面自评的长效机制，实现消防、特种设备、防雷防静电、交通、脱硝系统常态化风险管控，杜绝隐蔽性隐患累积，保障标准化体系持续有效运行。</w:t>
      </w:r>
    </w:p>
    <w:p w14:paraId="30DC10E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26" w:name="heading_26"/>
      <w:r>
        <w:rPr>
          <w:rFonts w:hint="eastAsia" w:ascii="宋体" w:hAnsi="宋体" w:eastAsia="宋体" w:cs="宋体"/>
          <w:b/>
          <w:sz w:val="21"/>
          <w:szCs w:val="21"/>
        </w:rPr>
        <w:t>5.4 评审清零，巩固达标成果</w:t>
      </w:r>
      <w:bookmarkEnd w:id="26"/>
    </w:p>
    <w:p w14:paraId="49631477">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标准化评审前完成消防联动试验、特种设备复检、防雷防静电复测、交通设施验收、脱硝系统专项校验，确保全部重大隐患清零，规范完成年度自评报告编制、留存及上报工作，顺利通过等级评审与能源局年度核查。</w:t>
      </w:r>
    </w:p>
    <w:p w14:paraId="6C651F8B">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0"/>
        <w:rPr>
          <w:rFonts w:hint="eastAsia" w:ascii="宋体" w:hAnsi="宋体" w:eastAsia="宋体" w:cs="宋体"/>
          <w:sz w:val="21"/>
          <w:szCs w:val="21"/>
        </w:rPr>
      </w:pPr>
      <w:bookmarkStart w:id="27" w:name="heading_27"/>
      <w:r>
        <w:rPr>
          <w:rFonts w:hint="eastAsia" w:ascii="宋体" w:hAnsi="宋体" w:eastAsia="宋体" w:cs="宋体"/>
          <w:b/>
          <w:sz w:val="21"/>
          <w:szCs w:val="21"/>
        </w:rPr>
        <w:t>6 未落实标准化与隐患治理的监管处罚机制</w:t>
      </w:r>
      <w:bookmarkEnd w:id="27"/>
    </w:p>
    <w:p w14:paraId="464C32DD">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依据《安全生产法》《电力安全生产监督管理办法》《电力生产重大事故隐患判定标准》（国家发展改革委令第41号）及</w:t>
      </w:r>
      <w:r>
        <w:rPr>
          <w:rFonts w:hint="eastAsia" w:ascii="宋体" w:hAnsi="宋体" w:eastAsia="宋体" w:cs="宋体"/>
          <w:b/>
          <w:sz w:val="21"/>
          <w:szCs w:val="21"/>
        </w:rPr>
        <w:t>国能综通安全〔2025〕151号</w:t>
      </w:r>
      <w:r>
        <w:rPr>
          <w:rFonts w:hint="eastAsia" w:ascii="宋体" w:hAnsi="宋体" w:eastAsia="宋体" w:cs="宋体"/>
          <w:sz w:val="21"/>
          <w:szCs w:val="21"/>
        </w:rPr>
        <w:t>监管通知要求，重大隐患排查治理属于法定强制性义务，安全标准化是落实主体责任、纳入电力行业常态化监管考核的核心载体，未落实相关主体责任、未完成标准化常态化建设与自评工作，将面临分级监管处置与行政处罚。</w:t>
      </w:r>
    </w:p>
    <w:p w14:paraId="77662DE7">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28" w:name="heading_28"/>
      <w:r>
        <w:rPr>
          <w:rFonts w:hint="eastAsia" w:ascii="宋体" w:hAnsi="宋体" w:eastAsia="宋体" w:cs="宋体"/>
          <w:b/>
          <w:sz w:val="21"/>
          <w:szCs w:val="21"/>
        </w:rPr>
        <w:t>6.1 未落实安全生产主体责任、标准化体系建设缺失的监管追责</w:t>
      </w:r>
      <w:bookmarkEnd w:id="28"/>
    </w:p>
    <w:p w14:paraId="055F727F">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1. 监管机构下发限期整改通知书，责令限期完成标准化体系建设、问题整改与年度自评工作。</w:t>
      </w:r>
      <w:r>
        <w:rPr>
          <w:rFonts w:hint="eastAsia" w:ascii="宋体" w:hAnsi="宋体" w:eastAsia="宋体" w:cs="宋体"/>
          <w:sz w:val="21"/>
          <w:szCs w:val="21"/>
        </w:rPr>
        <w:br w:type="textWrapping"/>
      </w:r>
      <w:r>
        <w:rPr>
          <w:rFonts w:hint="eastAsia" w:ascii="宋体" w:hAnsi="宋体" w:eastAsia="宋体" w:cs="宋体"/>
          <w:sz w:val="21"/>
          <w:szCs w:val="21"/>
        </w:rPr>
        <w:t>2. 约谈企业主要负责人及安全分管领导，压实企业安全生产标准化建设主体责任。</w:t>
      </w:r>
      <w:r>
        <w:rPr>
          <w:rFonts w:hint="eastAsia" w:ascii="宋体" w:hAnsi="宋体" w:eastAsia="宋体" w:cs="宋体"/>
          <w:sz w:val="21"/>
          <w:szCs w:val="21"/>
        </w:rPr>
        <w:br w:type="textWrapping"/>
      </w:r>
      <w:r>
        <w:rPr>
          <w:rFonts w:hint="eastAsia" w:ascii="宋体" w:hAnsi="宋体" w:eastAsia="宋体" w:cs="宋体"/>
          <w:sz w:val="21"/>
          <w:szCs w:val="21"/>
        </w:rPr>
        <w:t>3. 记入能源行业安全生产不良信用记录，影响企业电力交易、项目审批、评优评级及日常监管检查频次。</w:t>
      </w:r>
      <w:r>
        <w:rPr>
          <w:rFonts w:hint="eastAsia" w:ascii="宋体" w:hAnsi="宋体" w:eastAsia="宋体" w:cs="宋体"/>
          <w:sz w:val="21"/>
          <w:szCs w:val="21"/>
        </w:rPr>
        <w:br w:type="textWrapping"/>
      </w:r>
      <w:r>
        <w:rPr>
          <w:rFonts w:hint="eastAsia" w:ascii="宋体" w:hAnsi="宋体" w:eastAsia="宋体" w:cs="宋体"/>
          <w:sz w:val="21"/>
          <w:szCs w:val="21"/>
        </w:rPr>
        <w:t>4. 依据《安全生产法》第九十四条，生产经营单位未落实安全生产主体责任相关要求、未规范开展标准化建设的，对企业处10万元以下罚款；逾期未改正的，处10万元以上20万元以下罚款，对直接负责的主管人员和其他直接责任人员处2万元以上5万元以下罚款。</w:t>
      </w:r>
      <w:r>
        <w:rPr>
          <w:rFonts w:hint="eastAsia" w:ascii="宋体" w:hAnsi="宋体" w:eastAsia="宋体" w:cs="宋体"/>
          <w:sz w:val="21"/>
          <w:szCs w:val="21"/>
        </w:rPr>
        <w:br w:type="textWrapping"/>
      </w:r>
      <w:r>
        <w:rPr>
          <w:rFonts w:hint="eastAsia" w:ascii="宋体" w:hAnsi="宋体" w:eastAsia="宋体" w:cs="宋体"/>
          <w:sz w:val="21"/>
          <w:szCs w:val="21"/>
        </w:rPr>
        <w:t>5. 发生安全事故的，监管机构可依法责令停产停业整顿，撤销标准化达标等级。</w:t>
      </w:r>
    </w:p>
    <w:p w14:paraId="757F7444">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29" w:name="heading_29"/>
      <w:r>
        <w:rPr>
          <w:rFonts w:hint="eastAsia" w:ascii="宋体" w:hAnsi="宋体" w:eastAsia="宋体" w:cs="宋体"/>
          <w:b/>
          <w:sz w:val="21"/>
          <w:szCs w:val="21"/>
        </w:rPr>
        <w:t>6.2 重大隐患排查治理不到位的处罚情形</w:t>
      </w:r>
      <w:bookmarkEnd w:id="29"/>
    </w:p>
    <w:p w14:paraId="7B91935A">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1. 未建立隐患治理制度、未如实排查上报：依据《安全生产法》第九十四条，企业处10万元以下罚款；逾期未改处10万～20万元罚款，对直接负责的主管人员和其他直接责任人员处2万～5万元罚款。</w:t>
      </w:r>
      <w:r>
        <w:rPr>
          <w:rFonts w:hint="eastAsia" w:ascii="宋体" w:hAnsi="宋体" w:eastAsia="宋体" w:cs="宋体"/>
          <w:sz w:val="21"/>
          <w:szCs w:val="21"/>
        </w:rPr>
        <w:br w:type="textWrapping"/>
      </w:r>
      <w:r>
        <w:rPr>
          <w:rFonts w:hint="eastAsia" w:ascii="宋体" w:hAnsi="宋体" w:eastAsia="宋体" w:cs="宋体"/>
          <w:sz w:val="21"/>
          <w:szCs w:val="21"/>
        </w:rPr>
        <w:t>2. 排查发现重大隐患拒不整改、未消除风险，拒不执行监管部门停产等指令：依法责令停产整顿，依据《安全生产法》第一百零二条，对直接负责的主管人员和其他直接责任人员处2万元以上5万元以下罚款。</w:t>
      </w:r>
      <w:r>
        <w:rPr>
          <w:rFonts w:hint="eastAsia" w:ascii="宋体" w:hAnsi="宋体" w:eastAsia="宋体" w:cs="宋体"/>
          <w:sz w:val="21"/>
          <w:szCs w:val="21"/>
        </w:rPr>
        <w:br w:type="textWrapping"/>
      </w:r>
      <w:r>
        <w:rPr>
          <w:rFonts w:hint="eastAsia" w:ascii="宋体" w:hAnsi="宋体" w:eastAsia="宋体" w:cs="宋体"/>
          <w:sz w:val="21"/>
          <w:szCs w:val="21"/>
        </w:rPr>
        <w:t>3. 主要负责人未履职组织隐患治理、未推进标准化建设：依据《安全生产法》第九十四条，处2万～5万元罚款；逾期未改正的加重处罚。</w:t>
      </w:r>
      <w:r>
        <w:rPr>
          <w:rFonts w:hint="eastAsia" w:ascii="宋体" w:hAnsi="宋体" w:eastAsia="宋体" w:cs="宋体"/>
          <w:sz w:val="21"/>
          <w:szCs w:val="21"/>
        </w:rPr>
        <w:br w:type="textWrapping"/>
      </w:r>
      <w:r>
        <w:rPr>
          <w:rFonts w:hint="eastAsia" w:ascii="宋体" w:hAnsi="宋体" w:eastAsia="宋体" w:cs="宋体"/>
          <w:sz w:val="21"/>
          <w:szCs w:val="21"/>
        </w:rPr>
        <w:t>4. 隐患隐瞒不报、标准化自评弄虚作假、台账造假：从重处罚、纳入失信名单，引发事故依法移送司法机关追责。</w:t>
      </w:r>
    </w:p>
    <w:p w14:paraId="7E40AF9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30" w:name="heading_30"/>
      <w:r>
        <w:rPr>
          <w:rFonts w:hint="eastAsia" w:ascii="宋体" w:hAnsi="宋体" w:eastAsia="宋体" w:cs="宋体"/>
          <w:b/>
          <w:sz w:val="21"/>
          <w:szCs w:val="21"/>
        </w:rPr>
        <w:t>6.3 叠加违法的综合处置</w:t>
      </w:r>
      <w:bookmarkEnd w:id="30"/>
    </w:p>
    <w:p w14:paraId="7D0AC81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同时存在标准化体系缺失、年度自评未落实、重大隐患未闭环两类及以上违法行为，监管机构可合并立案、双重处罚、约谈追责、停产整顿、信用惩戒，形成强力监管震慑。</w:t>
      </w:r>
    </w:p>
    <w:p w14:paraId="569C14F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31" w:name="heading_31"/>
      <w:r>
        <w:rPr>
          <w:rFonts w:hint="eastAsia" w:ascii="宋体" w:hAnsi="宋体" w:eastAsia="宋体" w:cs="宋体"/>
          <w:b/>
          <w:sz w:val="21"/>
          <w:szCs w:val="21"/>
        </w:rPr>
        <w:t>6.4 一般隐患与重大隐患的监管力度区分</w:t>
      </w:r>
      <w:bookmarkEnd w:id="31"/>
    </w:p>
    <w:p w14:paraId="679B2C22">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一般隐患：限期整改，督促闭环，一般不罚款，主要以整改通知书、约谈提醒为主，纳入标准化日常考核。</w:t>
      </w:r>
      <w:r>
        <w:rPr>
          <w:rFonts w:hint="eastAsia" w:ascii="宋体" w:hAnsi="宋体" w:eastAsia="宋体" w:cs="宋体"/>
          <w:sz w:val="21"/>
          <w:szCs w:val="21"/>
        </w:rPr>
        <w:br w:type="textWrapping"/>
      </w:r>
      <w:r>
        <w:rPr>
          <w:rFonts w:hint="eastAsia" w:ascii="宋体" w:hAnsi="宋体" w:eastAsia="宋体" w:cs="宋体"/>
          <w:sz w:val="21"/>
          <w:szCs w:val="21"/>
        </w:rPr>
        <w:t>重大隐患：属于标准化评审一票否决项，必须挂牌督办、编制专项治理方案，验收合格后方可恢复生产；拒不整改可直接责令停产，实施高额处罚、相关责任人追责。</w:t>
      </w:r>
    </w:p>
    <w:p w14:paraId="3B4B81EA">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32" w:name="heading_32"/>
      <w:r>
        <w:rPr>
          <w:rFonts w:hint="eastAsia" w:ascii="宋体" w:hAnsi="宋体" w:eastAsia="宋体" w:cs="宋体"/>
          <w:b/>
          <w:sz w:val="21"/>
          <w:szCs w:val="21"/>
        </w:rPr>
        <w:t>6.5 电厂实操风险提示</w:t>
      </w:r>
      <w:bookmarkEnd w:id="32"/>
    </w:p>
    <w:p w14:paraId="42A47E3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严格落实国家能源局151号文硬性要求，每年必须组织安全生产标准化自主评审，形成自评报告留存备查，按属地监管要求及年度时限报送监管部门，杜绝纸面台账、形式化建设；重大隐患排查范围全覆盖锅炉、汽机、电气、热控、消防、特种设备、防雷防静电、厂区交通、尿素脱硝系统；重大隐患执行“排查登记—挂牌—专项方案—落实资金责任人时限—整改— 验收销号—上报监管”全链条留痕；重大隐患严禁边生产边整改，监管有权下达停产指令。</w:t>
      </w:r>
    </w:p>
    <w:p w14:paraId="7615F899">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宋体" w:hAnsi="宋体" w:eastAsia="宋体" w:cs="宋体"/>
          <w:sz w:val="21"/>
          <w:szCs w:val="21"/>
        </w:rPr>
      </w:pPr>
      <w:bookmarkStart w:id="33" w:name="heading_33"/>
      <w:r>
        <w:rPr>
          <w:rFonts w:hint="eastAsia" w:ascii="宋体" w:hAnsi="宋体" w:eastAsia="宋体" w:cs="宋体"/>
          <w:b/>
          <w:sz w:val="21"/>
          <w:szCs w:val="21"/>
        </w:rPr>
        <w:t>6.6 事故情形下加重追责</w:t>
      </w:r>
      <w:bookmarkEnd w:id="33"/>
    </w:p>
    <w:p w14:paraId="6F24E22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如果因为标准化体系缺失、年度自评流于形式、重大隐患长期漏判未治理，造成人身伤亡或者设备事故，除企业行政处罚外，主要负责人、分管安全、安全管理人员可追究重大责任事故罪，同时撤销企业安全生产标准化等级，列入失信黑名单，实施常态化重点监管。</w:t>
      </w:r>
    </w:p>
    <w:p w14:paraId="068635D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0"/>
        <w:rPr>
          <w:rFonts w:hint="eastAsia" w:ascii="宋体" w:hAnsi="宋体" w:eastAsia="宋体" w:cs="宋体"/>
          <w:sz w:val="21"/>
          <w:szCs w:val="21"/>
        </w:rPr>
      </w:pPr>
      <w:bookmarkStart w:id="34" w:name="heading_34"/>
      <w:r>
        <w:rPr>
          <w:rFonts w:hint="eastAsia" w:ascii="宋体" w:hAnsi="宋体" w:eastAsia="宋体" w:cs="宋体"/>
          <w:b/>
          <w:sz w:val="21"/>
          <w:szCs w:val="21"/>
        </w:rPr>
        <w:t>7 结论与展望</w:t>
      </w:r>
      <w:bookmarkEnd w:id="34"/>
    </w:p>
    <w:p w14:paraId="591FBEF5">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DL/T 3006-2025规范的全面实施，叠加国家能源局《关于加强组织管理 进一步推进电力安全生产标准化建设工作的通知》（国能综通安全〔2025〕151号）的顶层监管约束，彻底终结了燃煤电厂安全标准化“无专属细则、无统一标尺、无精准判定”的行业短板，构建了“政策监管+标准落地+隐患治理+常态自评+闭环改进”的火电全场景标准化、法治化、精细化安全治理体系。</w:t>
      </w:r>
    </w:p>
    <w:p w14:paraId="4FC0E4C7">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对于燃煤电厂，通过对标国家能源局最新监管政策与DL/T 3006-2025专属标准，完善专属制度预案体系、全覆盖重大隐患排查、常态化标准化自评改进，可有效补齐尿素脱硝、防雷防静电、厂区交通等薄弱环节安全短板，全面提升设备本质安全水平与现场管控能力，实现标准化建设从形式合规向实质合规转型。</w:t>
      </w:r>
    </w:p>
    <w:p w14:paraId="5426395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在当前电力安全监管日趋严格的背景下，严格对标新标准、落实能源局标准化常态化管控要求，扎实推进体系建设、隐患治理、合规管理，不仅是企业达标评审、规避处罚的刚性需求，更是防范电力安全事故、落实企业主体责任、实现管理人员尽职免责、保障电网安全稳定保供的核心抓手。</w:t>
      </w:r>
    </w:p>
    <w:p w14:paraId="5D24CE3F">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未来火电企业应持续依托国家能源局标准化监管政策与DL/T 3006-2025行业专属标准，动态优化安全管理体系，严格落实年度自评、闭环整改、长效管控要求，推动安全治理从被动整改向主动预防、从形式合规向本质安全深度转型，持续提升燃煤发电行业安全生产治理现代化水平。</w:t>
      </w:r>
    </w:p>
    <w:p w14:paraId="7F708BA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11831"/>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F121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useFELayout/>
    <w:splitPgBreakAndParaMark/>
    <w:compatSetting w:name="compatibilityMode" w:uri="http://schemas.microsoft.com/office/word" w:val="12"/>
  </w:compat>
  <w:rsids>
    <w:rsidRoot w:val="00000000"/>
    <w:rsid w:val="4AEC6D5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7849</Words>
  <Characters>8247</Characters>
  <TotalTime>7</TotalTime>
  <ScaleCrop>false</ScaleCrop>
  <LinksUpToDate>false</LinksUpToDate>
  <CharactersWithSpaces>8373</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2026-09-12T02:03:00Z</dcterms:created>
  <dc:creator>Apache POI</dc:creator>
  <cp:lastModifiedBy>男人当自强</cp:lastModifiedBy>
  <dcterms:modified xsi:type="dcterms:W3CDTF">2026-09-12T02:17:15Z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{"Label":"1","ContentProducer":"001191110102MACQD9K64010000","ProduceID":"7684463697704226039","ReservedCode1":"","ContentPropagator":"","PropagateID":"","ReservedCode2":""}</vt:lpwstr>
  </property>
  <property fmtid="{D5CDD505-2E9C-101B-9397-08002B2CF9AE}" pid="3" name="KSOTemplateDocerSaveRecord">
    <vt:lpwstr>eyJoZGlkIjoiNmQ4MDJjYTE5YTU1ODUyYjdmMGM3YmJmNmIwMTkyMDYiLCJ1c2VySWQiOiI0MDMxMjk2NDMifQ==</vt:lpwstr>
  </property>
  <property fmtid="{D5CDD505-2E9C-101B-9397-08002B2CF9AE}" pid="4" name="KSOProductBuildVer">
    <vt:lpwstr>2052-12.1.0.28043</vt:lpwstr>
  </property>
  <property fmtid="{D5CDD505-2E9C-101B-9397-08002B2CF9AE}" pid="5" name="ICV">
    <vt:lpwstr>15AA20F1DABA40988F9675FB4224BEC6_12</vt:lpwstr>
  </property>
</Properties>
</file>